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68" w:rsidRDefault="008F2A68" w:rsidP="005132B8">
      <w:pPr>
        <w:spacing w:before="240" w:line="360" w:lineRule="auto"/>
        <w:jc w:val="both"/>
        <w:rPr>
          <w:rFonts w:ascii="Palatino Linotype" w:hAnsi="Palatino Linotype"/>
          <w:b/>
          <w:sz w:val="24"/>
          <w:szCs w:val="24"/>
        </w:rPr>
      </w:pPr>
    </w:p>
    <w:p w:rsidR="00D010E2" w:rsidRDefault="00FC4551" w:rsidP="005132B8">
      <w:pPr>
        <w:spacing w:before="240" w:line="360" w:lineRule="auto"/>
        <w:jc w:val="both"/>
        <w:rPr>
          <w:rFonts w:ascii="Palatino Linotype" w:hAnsi="Palatino Linotype"/>
          <w:b/>
          <w:sz w:val="24"/>
          <w:szCs w:val="24"/>
        </w:rPr>
      </w:pPr>
      <w:r w:rsidRPr="00FC4551">
        <w:rPr>
          <w:rFonts w:ascii="Palatino Linotype" w:hAnsi="Palatino Linotype"/>
          <w:b/>
          <w:sz w:val="24"/>
          <w:szCs w:val="24"/>
        </w:rPr>
        <w:t xml:space="preserve">VOTO PARTICULAR QUE FORMULA LA COMISIONADA </w:t>
      </w:r>
      <w:r w:rsidR="008E56AA">
        <w:rPr>
          <w:rFonts w:ascii="Palatino Linotype" w:hAnsi="Palatino Linotype"/>
          <w:b/>
          <w:sz w:val="24"/>
          <w:szCs w:val="24"/>
        </w:rPr>
        <w:t xml:space="preserve">PRESIDENTA </w:t>
      </w:r>
      <w:r w:rsidRPr="00FC4551">
        <w:rPr>
          <w:rFonts w:ascii="Palatino Linotype" w:hAnsi="Palatino Linotype"/>
          <w:b/>
          <w:sz w:val="24"/>
          <w:szCs w:val="24"/>
        </w:rPr>
        <w:t>ZULEMA MARTÍNEZ SÁNCHEZ</w:t>
      </w:r>
      <w:r w:rsidR="005132B8" w:rsidRPr="005132B8">
        <w:rPr>
          <w:rFonts w:ascii="Palatino Linotype" w:hAnsi="Palatino Linotype"/>
          <w:b/>
          <w:sz w:val="24"/>
          <w:szCs w:val="24"/>
        </w:rPr>
        <w:t xml:space="preserve"> </w:t>
      </w:r>
      <w:r w:rsidR="005132B8">
        <w:rPr>
          <w:rFonts w:ascii="Palatino Linotype" w:hAnsi="Palatino Linotype"/>
          <w:b/>
          <w:sz w:val="24"/>
          <w:szCs w:val="24"/>
        </w:rPr>
        <w:t>Y EL COMISIONADO JAVIER MARTÍNEZ CRUZ</w:t>
      </w:r>
      <w:r w:rsidRPr="00FC4551">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6B7ECD">
        <w:rPr>
          <w:rFonts w:ascii="Palatino Linotype" w:hAnsi="Palatino Linotype"/>
          <w:b/>
          <w:sz w:val="24"/>
          <w:szCs w:val="24"/>
        </w:rPr>
        <w:t>TRIGÉSIMA OCTAVA</w:t>
      </w:r>
      <w:r w:rsidR="006B7ECD" w:rsidRPr="00FC4551">
        <w:rPr>
          <w:rFonts w:ascii="Palatino Linotype" w:hAnsi="Palatino Linotype"/>
          <w:b/>
          <w:sz w:val="24"/>
          <w:szCs w:val="24"/>
        </w:rPr>
        <w:t xml:space="preserve"> </w:t>
      </w:r>
      <w:r w:rsidRPr="00FC4551">
        <w:rPr>
          <w:rFonts w:ascii="Palatino Linotype" w:hAnsi="Palatino Linotype"/>
          <w:b/>
          <w:sz w:val="24"/>
          <w:szCs w:val="24"/>
        </w:rPr>
        <w:t xml:space="preserve">SESIÓN ORDINARIA DEL PLENO DE FECHA </w:t>
      </w:r>
      <w:r w:rsidR="006B7ECD">
        <w:rPr>
          <w:rFonts w:ascii="Palatino Linotype" w:hAnsi="Palatino Linotype"/>
          <w:b/>
          <w:sz w:val="24"/>
          <w:szCs w:val="24"/>
        </w:rPr>
        <w:t>DIECISIETE DE OCTUBRE</w:t>
      </w:r>
      <w:r w:rsidRPr="00FC4551">
        <w:rPr>
          <w:rFonts w:ascii="Palatino Linotype" w:hAnsi="Palatino Linotype"/>
          <w:b/>
          <w:sz w:val="24"/>
          <w:szCs w:val="24"/>
        </w:rPr>
        <w:t xml:space="preserve"> DE DOS MIL DIECIOCHO, EN EL REC</w:t>
      </w:r>
      <w:r w:rsidR="006B7ECD">
        <w:rPr>
          <w:rFonts w:ascii="Palatino Linotype" w:hAnsi="Palatino Linotype"/>
          <w:b/>
          <w:sz w:val="24"/>
          <w:szCs w:val="24"/>
        </w:rPr>
        <w:t>URSO DE REVISIÓN 03023</w:t>
      </w:r>
      <w:r w:rsidR="00C24ECE">
        <w:rPr>
          <w:rFonts w:ascii="Palatino Linotype" w:hAnsi="Palatino Linotype"/>
          <w:b/>
          <w:sz w:val="24"/>
          <w:szCs w:val="24"/>
        </w:rPr>
        <w:t>/INFOEM/AD</w:t>
      </w:r>
      <w:r w:rsidRPr="00FC4551">
        <w:rPr>
          <w:rFonts w:ascii="Palatino Linotype" w:hAnsi="Palatino Linotype"/>
          <w:b/>
          <w:sz w:val="24"/>
          <w:szCs w:val="24"/>
        </w:rPr>
        <w:t>/RR/2018.</w:t>
      </w:r>
    </w:p>
    <w:p w:rsidR="005132B8" w:rsidRPr="00563D0F" w:rsidRDefault="005132B8" w:rsidP="005132B8">
      <w:pPr>
        <w:spacing w:before="240" w:line="360" w:lineRule="auto"/>
        <w:jc w:val="both"/>
        <w:rPr>
          <w:rFonts w:ascii="Palatino Linotype" w:hAnsi="Palatino Linotype"/>
          <w:b/>
          <w:sz w:val="24"/>
          <w:szCs w:val="24"/>
        </w:rPr>
      </w:pPr>
    </w:p>
    <w:p w:rsidR="005132B8" w:rsidRDefault="005132B8" w:rsidP="005132B8">
      <w:pPr>
        <w:spacing w:before="240" w:line="360" w:lineRule="auto"/>
        <w:jc w:val="both"/>
        <w:rPr>
          <w:rFonts w:ascii="Palatino Linotype" w:hAnsi="Palatino Linotype"/>
        </w:rPr>
      </w:pPr>
      <w:r w:rsidRPr="00BC5FC7">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los que suscriben Comisionada </w:t>
      </w:r>
      <w:r w:rsidR="00FE7983">
        <w:rPr>
          <w:rFonts w:ascii="Palatino Linotype" w:hAnsi="Palatino Linotype"/>
        </w:rPr>
        <w:t xml:space="preserve">Presidenta </w:t>
      </w:r>
      <w:r w:rsidRPr="00BC5FC7">
        <w:rPr>
          <w:rFonts w:ascii="Palatino Linotype" w:hAnsi="Palatino Linotype"/>
        </w:rPr>
        <w:t xml:space="preserve">Zulema Martínez Sánchez y el Comisionado Javier Martínez Cruz emitimos VOTO PARTICULAR CONCURRENTE respecto a la resolución dictada en el recurso de revisión número </w:t>
      </w:r>
      <w:r w:rsidRPr="00FC4551">
        <w:rPr>
          <w:rFonts w:ascii="Palatino Linotype" w:hAnsi="Palatino Linotype"/>
          <w:b/>
          <w:sz w:val="24"/>
        </w:rPr>
        <w:t>0</w:t>
      </w:r>
      <w:r>
        <w:rPr>
          <w:rFonts w:ascii="Palatino Linotype" w:hAnsi="Palatino Linotype"/>
          <w:b/>
          <w:sz w:val="24"/>
        </w:rPr>
        <w:t>3023/INFOEM/AD</w:t>
      </w:r>
      <w:r w:rsidRPr="00FC4551">
        <w:rPr>
          <w:rFonts w:ascii="Palatino Linotype" w:hAnsi="Palatino Linotype"/>
          <w:b/>
          <w:sz w:val="24"/>
        </w:rPr>
        <w:t>/RR/2018</w:t>
      </w:r>
      <w:r w:rsidRPr="00BC5FC7">
        <w:rPr>
          <w:rFonts w:ascii="Palatino Linotype" w:hAnsi="Palatino Linotype"/>
        </w:rPr>
        <w:t xml:space="preserve">, pronunciada por el Pleno de este Instituto ante el proyecto presentado por la </w:t>
      </w:r>
      <w:r w:rsidRPr="00FC4551">
        <w:rPr>
          <w:rFonts w:ascii="Palatino Linotype" w:hAnsi="Palatino Linotype"/>
          <w:b/>
          <w:sz w:val="24"/>
        </w:rPr>
        <w:t>Comisionado José Guadalupe Luna Hernández</w:t>
      </w:r>
      <w:r w:rsidRPr="00BC5FC7">
        <w:rPr>
          <w:rFonts w:ascii="Palatino Linotype" w:hAnsi="Palatino Linotype"/>
        </w:rPr>
        <w:t xml:space="preserve">, que es del tenor siguiente: </w:t>
      </w:r>
    </w:p>
    <w:p w:rsidR="005132B8" w:rsidRPr="00BC5FC7" w:rsidRDefault="005132B8" w:rsidP="005132B8">
      <w:pPr>
        <w:spacing w:before="240" w:line="360" w:lineRule="auto"/>
        <w:jc w:val="both"/>
        <w:rPr>
          <w:rFonts w:ascii="Palatino Linotype" w:hAnsi="Palatino Linotype"/>
        </w:rPr>
      </w:pPr>
      <w:r w:rsidRPr="005132B8">
        <w:rPr>
          <w:rFonts w:ascii="Palatino Linotype" w:hAnsi="Palatino Linotype"/>
        </w:rPr>
        <w:lastRenderedPageBreak/>
        <w:t xml:space="preserve">Los suscritos no comparten el desechamiento como sentido de la resolución, ya que la Ley de </w:t>
      </w:r>
      <w:r w:rsidR="00FE7983">
        <w:rPr>
          <w:rFonts w:ascii="Palatino Linotype" w:hAnsi="Palatino Linotype"/>
        </w:rPr>
        <w:t>Transparencia</w:t>
      </w:r>
      <w:r w:rsidRPr="005132B8">
        <w:rPr>
          <w:rFonts w:ascii="Palatino Linotype" w:hAnsi="Palatino Linotype"/>
        </w:rPr>
        <w:t xml:space="preserve"> vigente en la entidad </w:t>
      </w:r>
      <w:r w:rsidR="00FE7983">
        <w:rPr>
          <w:rFonts w:ascii="Palatino Linotype" w:hAnsi="Palatino Linotype"/>
        </w:rPr>
        <w:t xml:space="preserve">aplicaba de manera supletoria, </w:t>
      </w:r>
      <w:r w:rsidRPr="005132B8">
        <w:rPr>
          <w:rFonts w:ascii="Palatino Linotype" w:hAnsi="Palatino Linotype"/>
        </w:rPr>
        <w:t>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D91796" w:rsidRPr="00BC5FC7" w:rsidRDefault="005132B8" w:rsidP="008C56A6">
      <w:pPr>
        <w:spacing w:before="240" w:after="0" w:line="360" w:lineRule="auto"/>
        <w:ind w:left="851" w:right="1134"/>
        <w:jc w:val="both"/>
        <w:rPr>
          <w:rFonts w:ascii="Palatino Linotype" w:hAnsi="Palatino Linotype" w:cs="Arial"/>
          <w:i/>
        </w:rPr>
      </w:pPr>
      <w:r w:rsidRPr="00BC5FC7">
        <w:rPr>
          <w:rFonts w:ascii="Palatino Linotype" w:hAnsi="Palatino Linotype" w:cs="Arial"/>
          <w:i/>
        </w:rPr>
        <w:t xml:space="preserve"> </w:t>
      </w:r>
      <w:r w:rsidR="00D91796" w:rsidRPr="00BC5FC7">
        <w:rPr>
          <w:rFonts w:ascii="Palatino Linotype" w:hAnsi="Palatino Linotype" w:cs="Arial"/>
          <w:i/>
        </w:rPr>
        <w:t>“Artículo 185. El Instituto resolverá el recurso de revisión conforme a lo siguiente:</w:t>
      </w:r>
    </w:p>
    <w:p w:rsidR="00D91796" w:rsidRPr="00BC5FC7" w:rsidRDefault="00D91796" w:rsidP="008C56A6">
      <w:pPr>
        <w:spacing w:before="240" w:after="0" w:line="360" w:lineRule="auto"/>
        <w:ind w:left="851" w:right="1134"/>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quien deberá proceder a su análisis para que decrete su admisión o su desechamiento</w:t>
      </w:r>
      <w:r w:rsidRPr="00BC5FC7">
        <w:rPr>
          <w:rFonts w:ascii="Palatino Linotype" w:hAnsi="Palatino Linotype" w:cs="Arial"/>
          <w:i/>
        </w:rPr>
        <w:t>;”</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El artículo nos aporta varios momentos procesales, consecutivos, primero se interpone el recurso de revisión, a continuación el sistema electrónico (para el presente caso se entiende como el SA</w:t>
      </w:r>
      <w:r w:rsidR="008873B9">
        <w:rPr>
          <w:rFonts w:ascii="Palatino Linotype" w:hAnsi="Palatino Linotype"/>
          <w:sz w:val="24"/>
        </w:rPr>
        <w:t>RCOEM</w:t>
      </w:r>
      <w:r w:rsidRPr="008C56A6">
        <w:rPr>
          <w:rFonts w:ascii="Palatino Linotype" w:hAnsi="Palatino Linotype"/>
          <w:sz w:val="24"/>
        </w:rPr>
        <w:t>) o la Comisionada Presidenta del Instituto lo turnarán a alguno de los Comisionados; cómo podemos apreciar si el recurso de revis</w:t>
      </w:r>
      <w:r w:rsidR="008873B9">
        <w:rPr>
          <w:rFonts w:ascii="Palatino Linotype" w:hAnsi="Palatino Linotype"/>
          <w:sz w:val="24"/>
        </w:rPr>
        <w:t>ión no se interpone nunca, el SARCOEM</w:t>
      </w:r>
      <w:r w:rsidRPr="008C56A6">
        <w:rPr>
          <w:rFonts w:ascii="Palatino Linotype" w:hAnsi="Palatino Linotype"/>
          <w:sz w:val="24"/>
        </w:rPr>
        <w:t xml:space="preserve"> o la presidenta no cuentan con oportunidad para turnarlo, es decir, son condicionantes de un momento procesal para turnarlo al Comisionado ponente, y trae como consecuencia que aquel proceda a realizar el análisis del recurso para que decrete su admisión o su desechamiento.</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lastRenderedPageBreak/>
        <w:t xml:space="preserve">Así, tenemos que en la fracción en estudio se concreta lo que se denomina como momento procesal, el cual sirve para llevar a cabo una actuación determinada, que una vez transcurrido en exceso no se puede hacer retroactivo, porque el plazo establecido es de carácter perentorio, </w:t>
      </w:r>
      <w:r w:rsidR="00D961F2">
        <w:rPr>
          <w:rFonts w:ascii="Palatino Linotype" w:hAnsi="Palatino Linotype"/>
          <w:sz w:val="24"/>
        </w:rPr>
        <w:t>ya que dicho plazo no acepta pró</w:t>
      </w:r>
      <w:r w:rsidRPr="008C56A6">
        <w:rPr>
          <w:rFonts w:ascii="Palatino Linotype" w:hAnsi="Palatino Linotype"/>
          <w:sz w:val="24"/>
        </w:rPr>
        <w:t>rroga alguna, ni está supeditado a la aparición de una condicional sino que es el momento procesal oportuno para admitir o desechar el recurso de revisión, lo cual puede hacerse mediante una resolución o un acuerdo que deseche o admita el recurso a trámite.</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 xml:space="preserve">Es importante establecer la abismal diferencia entre la interposición de un recurso y el acto procesal de desechar o admitir a trámite el recurso de revisión, es decir, no por el hecho de interponer un recurso de revisión por parte del recurrente, no se entiende que por ese sólo hecho ya debe considerarse </w:t>
      </w:r>
      <w:r w:rsidRPr="008C56A6">
        <w:rPr>
          <w:rFonts w:ascii="Palatino Linotype" w:hAnsi="Palatino Linotype"/>
          <w:i/>
          <w:sz w:val="24"/>
        </w:rPr>
        <w:t>de facto</w:t>
      </w:r>
      <w:r w:rsidRPr="008C56A6">
        <w:rPr>
          <w:rFonts w:ascii="Palatino Linotype" w:hAnsi="Palatino Linotype"/>
          <w:sz w:val="24"/>
        </w:rPr>
        <w:t xml:space="preserve"> como admitido, claro que no, porque pueden ocurrir elementos o circunstancias que el Comisionado debe analizar </w:t>
      </w:r>
      <w:r w:rsidRPr="008C56A6">
        <w:rPr>
          <w:rFonts w:ascii="Palatino Linotype" w:hAnsi="Palatino Linotype"/>
          <w:i/>
          <w:sz w:val="24"/>
        </w:rPr>
        <w:t>a priori</w:t>
      </w:r>
      <w:r w:rsidRPr="008C56A6">
        <w:rPr>
          <w:rFonts w:ascii="Palatino Linotype" w:hAnsi="Palatino Linotype"/>
          <w:sz w:val="24"/>
        </w:rPr>
        <w:t>, es decir, previo a su admisión o su desechamiento.</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El artículo en cita es muy claro en ese sentido, específica con notorio énfasis, “</w:t>
      </w:r>
      <w:r w:rsidRPr="008C56A6">
        <w:rPr>
          <w:rFonts w:ascii="Palatino Linotype" w:hAnsi="Palatino Linotype"/>
          <w:i/>
          <w:sz w:val="24"/>
        </w:rPr>
        <w:t>quien deberá proceder a su análisis para que decrete su admisión o su desechamiento</w:t>
      </w:r>
      <w:r w:rsidRPr="008C56A6">
        <w:rPr>
          <w:rFonts w:ascii="Palatino Linotype" w:hAnsi="Palatino Linotype"/>
          <w:sz w:val="24"/>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lastRenderedPageBreak/>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Así tenemos que el Diccionario de la Real Academia Española, los define así:</w:t>
      </w:r>
    </w:p>
    <w:p w:rsidR="00D91796" w:rsidRPr="00BC5FC7" w:rsidRDefault="00D91796" w:rsidP="008C56A6">
      <w:pPr>
        <w:spacing w:before="240" w:after="0" w:line="360" w:lineRule="auto"/>
        <w:ind w:left="851" w:right="706"/>
        <w:jc w:val="both"/>
        <w:rPr>
          <w:rFonts w:ascii="Palatino Linotype" w:hAnsi="Palatino Linotype"/>
        </w:rPr>
      </w:pPr>
      <w:r w:rsidRPr="00BC5FC7">
        <w:rPr>
          <w:rFonts w:ascii="Palatino Linotype" w:hAnsi="Palatino Linotype"/>
        </w:rPr>
        <w:t>Interponer.-  “</w:t>
      </w:r>
      <w:r w:rsidRPr="00BC5FC7">
        <w:rPr>
          <w:rFonts w:ascii="Palatino Linotype" w:hAnsi="Palatino Linotype" w:hint="eastAsia"/>
        </w:rPr>
        <w:t xml:space="preserve">3. </w:t>
      </w:r>
      <w:proofErr w:type="spellStart"/>
      <w:proofErr w:type="gramStart"/>
      <w:r w:rsidRPr="00BC5FC7">
        <w:rPr>
          <w:rFonts w:ascii="Palatino Linotype" w:hAnsi="Palatino Linotype" w:hint="eastAsia"/>
        </w:rPr>
        <w:t>tr</w:t>
      </w:r>
      <w:proofErr w:type="spellEnd"/>
      <w:proofErr w:type="gramEnd"/>
      <w:r w:rsidRPr="00BC5FC7">
        <w:rPr>
          <w:rFonts w:ascii="Palatino Linotype" w:hAnsi="Palatino Linotype" w:hint="eastAsia"/>
        </w:rPr>
        <w:t>. Formalizar por medio de un pedimento alguno de los recursos legales, como el de nulidad, de apelación, etc.</w:t>
      </w:r>
      <w:r w:rsidRPr="00BC5FC7">
        <w:rPr>
          <w:rFonts w:ascii="Palatino Linotype" w:hAnsi="Palatino Linotype"/>
        </w:rPr>
        <w:t>”</w:t>
      </w:r>
    </w:p>
    <w:p w:rsidR="00D91796" w:rsidRPr="00BC5FC7" w:rsidRDefault="00D91796" w:rsidP="008C56A6">
      <w:pPr>
        <w:spacing w:before="240" w:after="0" w:line="360" w:lineRule="auto"/>
        <w:ind w:left="851" w:right="706"/>
        <w:jc w:val="both"/>
        <w:rPr>
          <w:rFonts w:ascii="Palatino Linotype" w:hAnsi="Palatino Linotype"/>
        </w:rPr>
      </w:pPr>
      <w:r w:rsidRPr="00BC5FC7">
        <w:rPr>
          <w:rFonts w:ascii="Palatino Linotype" w:hAnsi="Palatino Linotype"/>
        </w:rPr>
        <w:t>Admisión.- “</w:t>
      </w:r>
      <w:r w:rsidRPr="00BC5FC7">
        <w:rPr>
          <w:rFonts w:ascii="Palatino Linotype" w:hAnsi="Palatino Linotype" w:hint="eastAsia"/>
        </w:rPr>
        <w:t>2. f. Der. Trámite en que, atendiendo a aspectos formales, se decide si una demanda, recurso o petición deben ser tomados en consideración para resolver el fondo.</w:t>
      </w:r>
      <w:r w:rsidRPr="00BC5FC7">
        <w:rPr>
          <w:rFonts w:ascii="Palatino Linotype" w:hAnsi="Palatino Linotype"/>
        </w:rPr>
        <w:t>”</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 xml:space="preserve">Entonces, no se debe confundir el acto que lleva a cabo el particular consistente en interponer su recurso de revisión, ese acto corresponde al recurrente que lo hace de mutuo propio, y no la autoridad. </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Mientras que la admisión o el desechamiento del recurso es un acto administrativo, el cual es diverso ya que se lleva de forma separada a la interposición del recurso, y el cual le corresponde a la autoridad llevar a cabo.</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lastRenderedPageBreak/>
        <w:t>Anteriores consideraciones que se robustecen con el criterio emitido por el Poder Judicial de la Federación a continuación transcrito:</w:t>
      </w:r>
    </w:p>
    <w:p w:rsidR="00D91796" w:rsidRPr="00BC5FC7" w:rsidRDefault="00D91796" w:rsidP="008C56A6">
      <w:pPr>
        <w:spacing w:before="240" w:after="0" w:line="360" w:lineRule="auto"/>
        <w:jc w:val="both"/>
        <w:rPr>
          <w:rFonts w:ascii="Palatino Linotype" w:hAnsi="Palatino Linotype"/>
        </w:rPr>
      </w:pPr>
    </w:p>
    <w:p w:rsidR="00D91796" w:rsidRPr="00BC5FC7" w:rsidRDefault="00D91796" w:rsidP="008C56A6">
      <w:pPr>
        <w:spacing w:after="0" w:line="360" w:lineRule="auto"/>
        <w:ind w:left="708" w:right="992"/>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p>
    <w:p w:rsidR="00D91796" w:rsidRPr="00BC5FC7" w:rsidRDefault="00D91796" w:rsidP="008C56A6">
      <w:pPr>
        <w:spacing w:after="0" w:line="360" w:lineRule="auto"/>
        <w:ind w:left="708" w:right="992"/>
        <w:jc w:val="both"/>
        <w:rPr>
          <w:rFonts w:ascii="Palatino Linotype" w:hAnsi="Palatino Linotype"/>
          <w:i/>
        </w:rPr>
      </w:pPr>
      <w:r w:rsidRPr="00BC5FC7">
        <w:rPr>
          <w:rFonts w:ascii="Palatino Linotype" w:hAnsi="Palatino Linotype"/>
          <w:i/>
        </w:rPr>
        <w:t xml:space="preserve">El hecho de que sea hasta la sentencia que se sobresea en el juicio de amparo, con fundamento en lo que establece la </w:t>
      </w:r>
      <w:hyperlink r:id="rId7"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 xml:space="preserve">no resulta incongruente con el hecho de haber sido admitida a trámite, pues en el auto </w:t>
      </w:r>
      <w:proofErr w:type="spellStart"/>
      <w:r w:rsidRPr="00BC5FC7">
        <w:rPr>
          <w:rFonts w:ascii="Palatino Linotype" w:hAnsi="Palatino Linotype"/>
          <w:b/>
          <w:i/>
          <w:u w:val="single"/>
        </w:rPr>
        <w:t>admisorio</w:t>
      </w:r>
      <w:proofErr w:type="spellEnd"/>
      <w:r w:rsidRPr="00BC5FC7">
        <w:rPr>
          <w:rFonts w:ascii="Palatino Linotype" w:hAnsi="Palatino Linotype"/>
          <w:b/>
          <w:i/>
          <w:u w:val="single"/>
        </w:rPr>
        <w:t xml:space="preserve">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D91796" w:rsidRPr="00BC5FC7" w:rsidRDefault="00D91796" w:rsidP="008C56A6">
      <w:pPr>
        <w:spacing w:after="0" w:line="360" w:lineRule="auto"/>
        <w:ind w:left="708" w:right="992"/>
        <w:jc w:val="both"/>
        <w:rPr>
          <w:rFonts w:ascii="Palatino Linotype" w:hAnsi="Palatino Linotype"/>
          <w:i/>
        </w:rPr>
      </w:pPr>
      <w:r w:rsidRPr="00BC5FC7">
        <w:rPr>
          <w:rFonts w:ascii="Palatino Linotype" w:hAnsi="Palatino Linotype"/>
          <w:i/>
        </w:rPr>
        <w:t>CUARTO TRIBUNAL COLEGIADO EN MATERIA ADMINISTRATIVA DEL PRIMER CIRCUITO.</w:t>
      </w:r>
    </w:p>
    <w:p w:rsidR="00D91796" w:rsidRPr="00BC5FC7" w:rsidRDefault="00D91796" w:rsidP="008C56A6">
      <w:pPr>
        <w:spacing w:after="0" w:line="360" w:lineRule="auto"/>
        <w:ind w:left="708" w:right="992"/>
        <w:jc w:val="both"/>
        <w:rPr>
          <w:rFonts w:ascii="Palatino Linotype" w:hAnsi="Palatino Linotype"/>
          <w:i/>
        </w:rPr>
      </w:pPr>
      <w:r w:rsidRPr="00BC5FC7">
        <w:rPr>
          <w:rFonts w:ascii="Palatino Linotype" w:hAnsi="Palatino Linotype"/>
          <w:i/>
        </w:rPr>
        <w:lastRenderedPageBreak/>
        <w:t>Amparo en revisión 3524/95. Tequila Eucario González, S.A. de C.V. 31 de enero de 1996. Unanimidad de votos. Ponente: David Delgadillo Guerrero. Secretario: Ramón E. García Rodríguez.”</w:t>
      </w:r>
    </w:p>
    <w:p w:rsidR="00D91796" w:rsidRPr="008C56A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t xml:space="preserve">Ahora bien, de los autos del recurso de revisión </w:t>
      </w:r>
      <w:r w:rsidRPr="002B3A7E">
        <w:rPr>
          <w:rFonts w:ascii="Palatino Linotype" w:hAnsi="Palatino Linotype"/>
          <w:b/>
          <w:sz w:val="24"/>
        </w:rPr>
        <w:t>0</w:t>
      </w:r>
      <w:r w:rsidR="005132B8">
        <w:rPr>
          <w:rFonts w:ascii="Palatino Linotype" w:hAnsi="Palatino Linotype"/>
          <w:b/>
          <w:sz w:val="24"/>
        </w:rPr>
        <w:t>3023</w:t>
      </w:r>
      <w:r w:rsidR="002B3A7E" w:rsidRPr="002B3A7E">
        <w:rPr>
          <w:rFonts w:ascii="Palatino Linotype" w:hAnsi="Palatino Linotype"/>
          <w:b/>
          <w:sz w:val="24"/>
        </w:rPr>
        <w:t>/INFOEM/AD</w:t>
      </w:r>
      <w:r w:rsidRPr="002B3A7E">
        <w:rPr>
          <w:rFonts w:ascii="Palatino Linotype" w:hAnsi="Palatino Linotype"/>
          <w:b/>
          <w:sz w:val="24"/>
        </w:rPr>
        <w:t>/RR/201</w:t>
      </w:r>
      <w:r w:rsidR="00C24ECE" w:rsidRPr="002B3A7E">
        <w:rPr>
          <w:rFonts w:ascii="Palatino Linotype" w:hAnsi="Palatino Linotype"/>
          <w:b/>
          <w:sz w:val="24"/>
        </w:rPr>
        <w:t>8</w:t>
      </w:r>
      <w:r w:rsidRPr="008C56A6">
        <w:rPr>
          <w:rFonts w:ascii="Palatino Linotype" w:hAnsi="Palatino Linotype"/>
          <w:sz w:val="24"/>
        </w:rPr>
        <w:t xml:space="preserve"> se aprecia que en fecha </w:t>
      </w:r>
      <w:r w:rsidR="00AF741C">
        <w:rPr>
          <w:rFonts w:ascii="Palatino Linotype" w:hAnsi="Palatino Linotype"/>
          <w:sz w:val="24"/>
        </w:rPr>
        <w:t>veinticuatro de agosto</w:t>
      </w:r>
      <w:r w:rsidR="002B3A7E">
        <w:rPr>
          <w:rFonts w:ascii="Palatino Linotype" w:hAnsi="Palatino Linotype"/>
          <w:sz w:val="24"/>
        </w:rPr>
        <w:t xml:space="preserve"> de dos mil dieciocho</w:t>
      </w:r>
      <w:r w:rsidRPr="008C56A6">
        <w:rPr>
          <w:rFonts w:ascii="Palatino Linotype" w:hAnsi="Palatino Linotype"/>
          <w:sz w:val="24"/>
        </w:rPr>
        <w:t xml:space="preserve"> el recurrente </w:t>
      </w:r>
      <w:r w:rsidRPr="008C56A6">
        <w:rPr>
          <w:rFonts w:ascii="Palatino Linotype" w:hAnsi="Palatino Linotype"/>
          <w:b/>
          <w:sz w:val="24"/>
          <w:u w:val="single"/>
        </w:rPr>
        <w:t>interpuso</w:t>
      </w:r>
      <w:r w:rsidRPr="008C56A6">
        <w:rPr>
          <w:rFonts w:ascii="Palatino Linotype" w:hAnsi="Palatino Linotype"/>
          <w:sz w:val="24"/>
        </w:rPr>
        <w:t xml:space="preserve"> recurso de revisión y en la </w:t>
      </w:r>
      <w:r w:rsidR="009F7D1A" w:rsidRPr="008C56A6">
        <w:rPr>
          <w:rFonts w:ascii="Palatino Linotype" w:hAnsi="Palatino Linotype"/>
          <w:sz w:val="24"/>
        </w:rPr>
        <w:t>misma fecha éste fue turnado al comisionado</w:t>
      </w:r>
      <w:r w:rsidRPr="008C56A6">
        <w:rPr>
          <w:rFonts w:ascii="Palatino Linotype" w:hAnsi="Palatino Linotype"/>
          <w:sz w:val="24"/>
        </w:rPr>
        <w:t xml:space="preserve"> ponente, como se aprecia a continuación:</w:t>
      </w:r>
    </w:p>
    <w:p w:rsidR="00D91796" w:rsidRPr="008C56A6" w:rsidRDefault="009F7D1A" w:rsidP="00AF741C">
      <w:pPr>
        <w:spacing w:before="240" w:after="0" w:line="360" w:lineRule="auto"/>
        <w:rPr>
          <w:rFonts w:ascii="Palatino Linotype" w:hAnsi="Palatino Linotype"/>
          <w:sz w:val="24"/>
        </w:rPr>
      </w:pPr>
      <w:r w:rsidRPr="008C56A6">
        <w:rPr>
          <w:noProof/>
          <w:sz w:val="24"/>
          <w:lang w:eastAsia="es-MX"/>
        </w:rPr>
        <mc:AlternateContent>
          <mc:Choice Requires="wps">
            <w:drawing>
              <wp:anchor distT="0" distB="0" distL="114300" distR="114300" simplePos="0" relativeHeight="251659264" behindDoc="0" locked="0" layoutInCell="1" allowOverlap="1" wp14:anchorId="342A7C12" wp14:editId="5CE68F29">
                <wp:simplePos x="0" y="0"/>
                <wp:positionH relativeFrom="margin">
                  <wp:posOffset>49710</wp:posOffset>
                </wp:positionH>
                <wp:positionV relativeFrom="paragraph">
                  <wp:posOffset>801180</wp:posOffset>
                </wp:positionV>
                <wp:extent cx="5581650" cy="464024"/>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5581650" cy="46402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2FA3C" id="Rectángulo 4" o:spid="_x0000_s1026" style="position:absolute;margin-left:3.9pt;margin-top:63.1pt;width:439.5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rJogIAAJEFAAAOAAAAZHJzL2Uyb0RvYy54bWysVM1u2zAMvg/YOwi6L7Yzp+uCOkWQIsOA&#10;og3aDj0rshQbkEVNUuJkb7Nn2YuNkn8adMUOw3JQRJP8KH78ubo+NoochHU16IJmk5QSoTmUtd4V&#10;9NvT+sMlJc4zXTIFWhT0JBy9Xrx/d9WauZhCBaoUliCIdvPWFLTy3syTxPFKNMxNwAiNSgm2YR5F&#10;u0tKy1pEb1QyTdOLpAVbGgtcOIdfbzolXUR8KQX391I64YkqKL7Nx9PGcxvOZHHF5jvLTFXz/hns&#10;H17RsFpj0BHqhnlG9rb+A6qpuQUH0k84NAlIWXMRc8BssvRVNo8VMyLmguQ4M9Lk/h8svztsLKnL&#10;guaUaNZgiR6QtF8/9W6vgOSBoNa4Odo9mo3tJYfXkO1R2ib8Yx7kGEk9jaSKoyccP85ml9nFDLnn&#10;qMsv8nQaQZMXb2Od/yKgIeFSUIvxI5fscOs8RkTTwSQE07CulYqFU5q0Bf14maVp9HCg6jJog52z&#10;u+1KWXJgWPv1OsVfyAbRzsxQUho/hhy7rOLNn5QIGEo/CIn0YB7TLkJoTDHCMs6F9lmnqlgpumiz&#10;82CDRwwdAQOyxFeO2D3AYNmBDNjdm3v74CpiX4/Ofep/cx49YmTQfnRuag32rcwUZtVH7uwHkjpq&#10;AktbKE/YPBa6qXKGr2us4C1zfsMsjhEWHVeDv8dDKsBKQX+jpAL7463vwR67G7WUtDiWBXXf98wK&#10;StRXjX3/OcvzMMdRyGefpijYc832XKP3zQqw+hkuIcPjNdh7NVylheYZN8gyREUV0xxjF5R7Owgr&#10;360L3EFcLJfRDGfXMH+rHw0P4IHV0KFPx2dmTd/GHgfgDoYRZvNX3dzZBk8Ny70HWcdWf+G15xvn&#10;PjZOv6PCYjmXo9XLJl38BgAA//8DAFBLAwQUAAYACAAAACEAET7SPNwAAAAJAQAADwAAAGRycy9k&#10;b3ducmV2LnhtbEyPwU6EMBCG7ya+QzMm3tyyaFhAysaYqNGbqPHapSMQ2imh3QXf3vGkx/n+yT/f&#10;VPvVWXHCOQyeFGw3CQik1puBOgXvbw9XOYgQNRltPaGCbwywr8/PKl0av9ArnprYCS6hUGoFfYxT&#10;KWVoe3Q6bPyExNmXn52OPM6dNLNeuNxZmSZJJp0eiC/0esL7HtuxOToFz0tqh89Ovzw1Y/Mx+pvH&#10;7a5wSl1erHe3ICKu8W8ZfvVZHWp2OvgjmSCsgh2LR8ZploLgPM8zJgcmRXENsq7k/w/qHwAAAP//&#10;AwBQSwECLQAUAAYACAAAACEAtoM4kv4AAADhAQAAEwAAAAAAAAAAAAAAAAAAAAAAW0NvbnRlbnRf&#10;VHlwZXNdLnhtbFBLAQItABQABgAIAAAAIQA4/SH/1gAAAJQBAAALAAAAAAAAAAAAAAAAAC8BAABf&#10;cmVscy8ucmVsc1BLAQItABQABgAIAAAAIQBQuIrJogIAAJEFAAAOAAAAAAAAAAAAAAAAAC4CAABk&#10;cnMvZTJvRG9jLnhtbFBLAQItABQABgAIAAAAIQARPtI83AAAAAkBAAAPAAAAAAAAAAAAAAAAAPwE&#10;AABkcnMvZG93bnJldi54bWxQSwUGAAAAAAQABADzAAAABQYAAAAA&#10;" filled="f" strokecolor="red" strokeweight="3pt">
                <w10:wrap anchorx="margin"/>
              </v:rect>
            </w:pict>
          </mc:Fallback>
        </mc:AlternateContent>
      </w:r>
      <w:r w:rsidR="00AF741C" w:rsidRPr="00AF741C">
        <w:rPr>
          <w:noProof/>
          <w:lang w:eastAsia="es-MX"/>
        </w:rPr>
        <w:t xml:space="preserve"> </w:t>
      </w:r>
      <w:r w:rsidR="00744F37">
        <w:rPr>
          <w:noProof/>
          <w:lang w:eastAsia="es-MX"/>
        </w:rPr>
        <w:drawing>
          <wp:inline distT="0" distB="0" distL="0" distR="0">
            <wp:extent cx="5669280" cy="173736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1737360"/>
                    </a:xfrm>
                    <a:prstGeom prst="rect">
                      <a:avLst/>
                    </a:prstGeom>
                    <a:noFill/>
                    <a:ln>
                      <a:noFill/>
                    </a:ln>
                  </pic:spPr>
                </pic:pic>
              </a:graphicData>
            </a:graphic>
          </wp:inline>
        </w:drawing>
      </w:r>
      <w:bookmarkStart w:id="0" w:name="_GoBack"/>
      <w:bookmarkEnd w:id="0"/>
    </w:p>
    <w:p w:rsidR="00D91796" w:rsidRPr="008C56A6" w:rsidRDefault="00D91796" w:rsidP="00AF741C">
      <w:pPr>
        <w:spacing w:before="240" w:after="0" w:line="360" w:lineRule="auto"/>
        <w:jc w:val="both"/>
        <w:rPr>
          <w:rFonts w:ascii="Palatino Linotype" w:hAnsi="Palatino Linotype"/>
          <w:sz w:val="24"/>
        </w:rPr>
      </w:pPr>
      <w:r w:rsidRPr="008C56A6">
        <w:rPr>
          <w:noProof/>
          <w:sz w:val="24"/>
          <w:lang w:eastAsia="es-MX"/>
        </w:rPr>
        <w:t xml:space="preserve"> </w:t>
      </w:r>
      <w:r w:rsidRPr="008C56A6">
        <w:rPr>
          <w:rFonts w:ascii="Palatino Linotype" w:hAnsi="Palatino Linotype"/>
          <w:sz w:val="24"/>
        </w:rPr>
        <w:t>Como podemos apreciar el propi</w:t>
      </w:r>
      <w:r w:rsidR="00D80592" w:rsidRPr="008C56A6">
        <w:rPr>
          <w:rFonts w:ascii="Palatino Linotype" w:hAnsi="Palatino Linotype"/>
          <w:sz w:val="24"/>
        </w:rPr>
        <w:t>o expediente electrónico separa</w:t>
      </w:r>
      <w:r w:rsidRPr="008C56A6">
        <w:rPr>
          <w:rFonts w:ascii="Palatino Linotype" w:hAnsi="Palatino Linotype"/>
          <w:sz w:val="24"/>
        </w:rPr>
        <w:t xml:space="preserve"> la interposición del recurso, el turno y su admisión, porque evidentemente no son la misma actuación ni se refieren al mismo acto, como fue analizado.</w:t>
      </w:r>
    </w:p>
    <w:p w:rsidR="00AF741C" w:rsidRDefault="00D961F2" w:rsidP="00AF741C">
      <w:pPr>
        <w:spacing w:before="240" w:after="0" w:line="360" w:lineRule="auto"/>
        <w:jc w:val="both"/>
        <w:rPr>
          <w:rFonts w:ascii="Palatino Linotype" w:hAnsi="Palatino Linotype"/>
          <w:sz w:val="24"/>
        </w:rPr>
      </w:pPr>
      <w:r>
        <w:rPr>
          <w:rFonts w:ascii="Palatino Linotype" w:hAnsi="Palatino Linotype"/>
          <w:noProof/>
          <w:sz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-1018</wp:posOffset>
                </wp:positionH>
                <wp:positionV relativeFrom="paragraph">
                  <wp:posOffset>1112616</wp:posOffset>
                </wp:positionV>
                <wp:extent cx="5655945" cy="1975054"/>
                <wp:effectExtent l="0" t="0" r="20955" b="25400"/>
                <wp:wrapNone/>
                <wp:docPr id="5" name="Conector recto 5"/>
                <wp:cNvGraphicFramePr/>
                <a:graphic xmlns:a="http://schemas.openxmlformats.org/drawingml/2006/main">
                  <a:graphicData uri="http://schemas.microsoft.com/office/word/2010/wordprocessingShape">
                    <wps:wsp>
                      <wps:cNvCnPr/>
                      <wps:spPr>
                        <a:xfrm>
                          <a:off x="0" y="0"/>
                          <a:ext cx="5655945" cy="19750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2DFF6"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7.6pt" to="445.25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RtwEAAMUDAAAOAAAAZHJzL2Uyb0RvYy54bWysU9uO0zAQfUfiHyy/0ySrzcJGTfehK3hB&#10;UHH5AK8zbiz5prFp0r9n7LRZBEgIxIuvc87MOR5vH2Zr2Akwau963mxqzsBJP2h37PnXL29fveEs&#10;JuEGYbyDnp8h8ofdyxfbKXRw40dvBkBGJC52U+j5mFLoqirKEayIGx/A0aXyaEWiLR6rAcVE7NZU&#10;N3V9V00eh4BeQox0+rhc8l3hVwpk+qhUhMRMz6m2VEYs41Meq91WdEcUYdTyUob4hyqs0I6SrlSP&#10;Ign2DfUvVFZL9NGrtJHeVl4pLaFoIDVN/ZOaz6MIULSQOTGsNsX/Rys/nA7I9NDzljMnLD3Rnh5K&#10;Jo8M88Ta7NEUYkehe3fAyy6GA2bBs0KbZ5LC5uLrefUV5sQkHbZ3bXt/Swkk3TX3r9u6vc2s1TM8&#10;YEzvwFuWFz032mXhohOn9zEtodcQwuVylgLKKp0N5GDjPoEiMZSyKejSRrA3yE6CGkBICS41l9Ql&#10;OsOUNmYF1n8GXuIzFEqL/Q14RZTM3qUVbLXz+Lvsab6WrJb4qwOL7mzBkx/O5WmKNdQrxdxLX+dm&#10;/HFf4M+/b/cdAAD//wMAUEsDBBQABgAIAAAAIQCIxCJS4QAAAAkBAAAPAAAAZHJzL2Rvd25yZXYu&#10;eG1sTI9BS8NAEIXvgv9hGcFbuzHYGmM2pRTEWpBiFepxmx2TaHY27G6b9N87nvQ2M+/x5nvFYrSd&#10;OKEPrSMFN9MEBFLlTEu1gve3x0kGIkRNRneOUMEZAyzKy4tC58YN9IqnXawFh1DItYImxj6XMlQN&#10;Wh2mrkdi7dN5qyOvvpbG64HDbSfTJJlLq1viD43ucdVg9b07WgUvfr1eLTfnL9p+2GGfbvbb5/FJ&#10;qeurcfkAIuIY/8zwi8/oUDLTwR3JBNEpmKRs5PPdjAfWs/tkBuKg4DabpyDLQv5vUP4AAAD//wMA&#10;UEsBAi0AFAAGAAgAAAAhALaDOJL+AAAA4QEAABMAAAAAAAAAAAAAAAAAAAAAAFtDb250ZW50X1R5&#10;cGVzXS54bWxQSwECLQAUAAYACAAAACEAOP0h/9YAAACUAQAACwAAAAAAAAAAAAAAAAAvAQAAX3Jl&#10;bHMvLnJlbHNQSwECLQAUAAYACAAAACEALV/hUbcBAADFAwAADgAAAAAAAAAAAAAAAAAuAgAAZHJz&#10;L2Uyb0RvYy54bWxQSwECLQAUAAYACAAAACEAiMQiUuEAAAAJAQAADwAAAAAAAAAAAAAAAAARBAAA&#10;ZHJzL2Rvd25yZXYueG1sUEsFBgAAAAAEAAQA8wAAAB8FAAAAAA==&#10;" strokecolor="#5b9bd5 [3204]" strokeweight=".5pt">
                <v:stroke joinstyle="miter"/>
              </v:line>
            </w:pict>
          </mc:Fallback>
        </mc:AlternateContent>
      </w:r>
      <w:r w:rsidR="00D91796" w:rsidRPr="008C56A6">
        <w:rPr>
          <w:rFonts w:ascii="Palatino Linotype" w:hAnsi="Palatino Linotype"/>
          <w:sz w:val="24"/>
        </w:rPr>
        <w:t>Así las c</w:t>
      </w:r>
      <w:r w:rsidR="00D80592" w:rsidRPr="008C56A6">
        <w:rPr>
          <w:rFonts w:ascii="Palatino Linotype" w:hAnsi="Palatino Linotype"/>
          <w:sz w:val="24"/>
        </w:rPr>
        <w:t>osas, resulta que el Comisionado</w:t>
      </w:r>
      <w:r w:rsidR="00D91796" w:rsidRPr="008C56A6">
        <w:rPr>
          <w:rFonts w:ascii="Palatino Linotype" w:hAnsi="Palatino Linotype"/>
          <w:sz w:val="24"/>
        </w:rPr>
        <w:t xml:space="preserve"> Ponente admitió el recurso de revisión de forma separada a la interposición, tan es así que se dictó en otra fecha a su interposición como se observa a continuación:</w:t>
      </w:r>
    </w:p>
    <w:p w:rsidR="00D91796" w:rsidRPr="008C56A6" w:rsidRDefault="00BF1B46" w:rsidP="00AF741C">
      <w:pPr>
        <w:spacing w:before="240" w:after="0" w:line="360" w:lineRule="auto"/>
        <w:jc w:val="both"/>
        <w:rPr>
          <w:rFonts w:ascii="Palatino Linotype" w:hAnsi="Palatino Linotype"/>
          <w:sz w:val="24"/>
        </w:rPr>
      </w:pPr>
      <w:r>
        <w:rPr>
          <w:rFonts w:ascii="Palatino Linotype" w:hAnsi="Palatino Linotype"/>
          <w:noProof/>
          <w:sz w:val="24"/>
          <w:lang w:eastAsia="es-MX"/>
        </w:rPr>
        <w:lastRenderedPageBreak/>
        <w:drawing>
          <wp:inline distT="0" distB="0" distL="0" distR="0">
            <wp:extent cx="4937760" cy="70408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760" cy="7040880"/>
                    </a:xfrm>
                    <a:prstGeom prst="rect">
                      <a:avLst/>
                    </a:prstGeom>
                    <a:noFill/>
                    <a:ln>
                      <a:noFill/>
                    </a:ln>
                  </pic:spPr>
                </pic:pic>
              </a:graphicData>
            </a:graphic>
          </wp:inline>
        </w:drawing>
      </w:r>
    </w:p>
    <w:p w:rsidR="00D91796" w:rsidRDefault="00D91796" w:rsidP="008C56A6">
      <w:pPr>
        <w:spacing w:before="240" w:after="0" w:line="360" w:lineRule="auto"/>
        <w:jc w:val="both"/>
        <w:rPr>
          <w:rFonts w:ascii="Palatino Linotype" w:hAnsi="Palatino Linotype"/>
          <w:sz w:val="24"/>
        </w:rPr>
      </w:pPr>
      <w:r w:rsidRPr="008C56A6">
        <w:rPr>
          <w:rFonts w:ascii="Palatino Linotype" w:hAnsi="Palatino Linotype"/>
          <w:sz w:val="24"/>
        </w:rPr>
        <w:lastRenderedPageBreak/>
        <w:t>Es decir, en el momento procesal oportuno para decretar</w:t>
      </w:r>
      <w:r w:rsidR="00D80592" w:rsidRPr="008C56A6">
        <w:rPr>
          <w:rFonts w:ascii="Palatino Linotype" w:hAnsi="Palatino Linotype"/>
          <w:sz w:val="24"/>
        </w:rPr>
        <w:t xml:space="preserve"> su desechamiento o admisión, el Comisionado</w:t>
      </w:r>
      <w:r w:rsidRPr="008C56A6">
        <w:rPr>
          <w:rFonts w:ascii="Palatino Linotype" w:hAnsi="Palatino Linotype"/>
          <w:sz w:val="24"/>
        </w:rPr>
        <w:t xml:space="preserve"> Ponente los admitió en términos del artículo 185 fracción I</w:t>
      </w:r>
      <w:r w:rsidR="002B3A7E">
        <w:rPr>
          <w:rFonts w:ascii="Palatino Linotype" w:hAnsi="Palatino Linotype"/>
          <w:sz w:val="24"/>
        </w:rPr>
        <w:t xml:space="preserve"> de la Ley de Transparencia de manera supletoria</w:t>
      </w:r>
      <w:r w:rsidRPr="008C56A6">
        <w:rPr>
          <w:rFonts w:ascii="Palatino Linotype" w:hAnsi="Palatino Linotype"/>
          <w:sz w:val="24"/>
        </w:rPr>
        <w:t>.</w:t>
      </w:r>
    </w:p>
    <w:p w:rsidR="00AF741C" w:rsidRPr="008C56A6" w:rsidRDefault="00AF741C" w:rsidP="008C56A6">
      <w:pPr>
        <w:spacing w:before="240" w:after="0" w:line="360" w:lineRule="auto"/>
        <w:jc w:val="both"/>
        <w:rPr>
          <w:rFonts w:ascii="Palatino Linotype" w:hAnsi="Palatino Linotype"/>
          <w:sz w:val="24"/>
        </w:rPr>
      </w:pPr>
    </w:p>
    <w:p w:rsidR="00D91796" w:rsidRDefault="00D91796" w:rsidP="008C56A6">
      <w:pPr>
        <w:spacing w:before="240" w:after="0" w:line="360" w:lineRule="auto"/>
        <w:jc w:val="both"/>
        <w:rPr>
          <w:rFonts w:ascii="Palatino Linotype" w:hAnsi="Palatino Linotype" w:cs="Arial"/>
          <w:sz w:val="24"/>
        </w:rPr>
      </w:pPr>
      <w:r w:rsidRPr="008C56A6">
        <w:rPr>
          <w:rFonts w:ascii="Palatino Linotype" w:hAnsi="Palatino Linotype" w:cs="Arial"/>
          <w:sz w:val="24"/>
        </w:rPr>
        <w:t>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AF741C" w:rsidRPr="008C56A6" w:rsidRDefault="00AF741C" w:rsidP="008C56A6">
      <w:pPr>
        <w:spacing w:before="240" w:after="0" w:line="360" w:lineRule="auto"/>
        <w:jc w:val="both"/>
        <w:rPr>
          <w:rFonts w:ascii="Palatino Linotype" w:hAnsi="Palatino Linotype" w:cs="Arial"/>
          <w:sz w:val="24"/>
        </w:rPr>
      </w:pPr>
    </w:p>
    <w:p w:rsidR="00D91796" w:rsidRDefault="00D91796" w:rsidP="008C56A6">
      <w:pPr>
        <w:spacing w:before="240" w:after="0" w:line="360" w:lineRule="auto"/>
        <w:jc w:val="both"/>
        <w:rPr>
          <w:rFonts w:ascii="Palatino Linotype" w:hAnsi="Palatino Linotype" w:cs="Arial"/>
          <w:sz w:val="24"/>
        </w:rPr>
      </w:pPr>
      <w:r w:rsidRPr="008C56A6">
        <w:rPr>
          <w:rFonts w:ascii="Palatino Linotype" w:hAnsi="Palatino Linotype" w:cs="Arial"/>
          <w:sz w:val="24"/>
        </w:rPr>
        <w:t>Toda vez que el recurso de revisión en estudio, se ha decretado su admisión y por ende su procedencia, es porque se actualizó alguna de las hipót</w:t>
      </w:r>
      <w:r w:rsidR="002B3A7E">
        <w:rPr>
          <w:rFonts w:ascii="Palatino Linotype" w:hAnsi="Palatino Linotype" w:cs="Arial"/>
          <w:sz w:val="24"/>
        </w:rPr>
        <w:t>esis previstas en el artículo 12</w:t>
      </w:r>
      <w:r w:rsidRPr="008C56A6">
        <w:rPr>
          <w:rFonts w:ascii="Palatino Linotype" w:hAnsi="Palatino Linotype" w:cs="Arial"/>
          <w:sz w:val="24"/>
        </w:rPr>
        <w:t>9 de la Ley en la materia, que claramente establece:</w:t>
      </w:r>
    </w:p>
    <w:p w:rsidR="00AF741C" w:rsidRPr="00FE7983" w:rsidRDefault="00FE7983" w:rsidP="008C56A6">
      <w:pPr>
        <w:spacing w:before="240" w:after="0" w:line="360" w:lineRule="auto"/>
        <w:jc w:val="both"/>
      </w:pPr>
      <w:r>
        <w:rPr>
          <w:rFonts w:ascii="Palatino Linotype" w:hAnsi="Palatino Linotype" w:cs="Arial"/>
          <w:sz w:val="24"/>
        </w:rPr>
        <w:t xml:space="preserve"> </w:t>
      </w:r>
      <w:r>
        <w:t xml:space="preserve">                                       </w:t>
      </w:r>
    </w:p>
    <w:p w:rsidR="00D91796" w:rsidRDefault="00D91796" w:rsidP="008C56A6">
      <w:pPr>
        <w:spacing w:before="240" w:after="0" w:line="360" w:lineRule="auto"/>
        <w:ind w:left="851" w:right="1134"/>
        <w:jc w:val="both"/>
        <w:rPr>
          <w:rFonts w:ascii="Palatino Linotype" w:hAnsi="Palatino Linotype" w:cs="Arial"/>
          <w:i/>
        </w:rPr>
      </w:pPr>
      <w:r w:rsidRPr="00BC5FC7">
        <w:rPr>
          <w:rFonts w:ascii="Palatino Linotype" w:hAnsi="Palatino Linotype" w:cs="Arial"/>
          <w:i/>
        </w:rPr>
        <w:t>“Artículo 1</w:t>
      </w:r>
      <w:r w:rsidR="00FE7983">
        <w:rPr>
          <w:rFonts w:ascii="Palatino Linotype" w:hAnsi="Palatino Linotype" w:cs="Arial"/>
          <w:i/>
        </w:rPr>
        <w:t>2</w:t>
      </w:r>
      <w:r w:rsidRPr="00BC5FC7">
        <w:rPr>
          <w:rFonts w:ascii="Palatino Linotype" w:hAnsi="Palatino Linotype" w:cs="Arial"/>
          <w:i/>
        </w:rPr>
        <w:t>9. El recurso de revisión</w:t>
      </w:r>
      <w:r w:rsidR="002B3A7E" w:rsidRPr="002B3A7E">
        <w:rPr>
          <w:rFonts w:ascii="Palatino Linotype" w:hAnsi="Palatino Linotype" w:cs="Arial"/>
          <w:b/>
          <w:i/>
        </w:rPr>
        <w:t xml:space="preserve"> </w:t>
      </w:r>
      <w:r w:rsidRPr="00BC5FC7">
        <w:rPr>
          <w:rFonts w:ascii="Palatino Linotype" w:hAnsi="Palatino Linotype" w:cs="Arial"/>
          <w:b/>
          <w:i/>
          <w:u w:val="single"/>
        </w:rPr>
        <w:t>procederá</w:t>
      </w:r>
      <w:r w:rsidRPr="00BC5FC7">
        <w:rPr>
          <w:rFonts w:ascii="Palatino Linotype" w:hAnsi="Palatino Linotype" w:cs="Arial"/>
          <w:i/>
        </w:rPr>
        <w:t xml:space="preserve"> </w:t>
      </w:r>
      <w:r w:rsidR="002B3A7E">
        <w:rPr>
          <w:rFonts w:ascii="Palatino Linotype" w:hAnsi="Palatino Linotype" w:cs="Arial"/>
          <w:i/>
        </w:rPr>
        <w:t>en los supuestos siguientes:”</w:t>
      </w:r>
    </w:p>
    <w:p w:rsidR="00AF741C" w:rsidRPr="00BC5FC7" w:rsidRDefault="00AF741C" w:rsidP="008C56A6">
      <w:pPr>
        <w:spacing w:before="240" w:after="0" w:line="360" w:lineRule="auto"/>
        <w:ind w:left="851" w:right="1134"/>
        <w:jc w:val="both"/>
        <w:rPr>
          <w:rFonts w:ascii="Palatino Linotype" w:hAnsi="Palatino Linotype" w:cs="Arial"/>
          <w:i/>
        </w:rPr>
      </w:pPr>
    </w:p>
    <w:p w:rsidR="00D91796" w:rsidRDefault="00D91796" w:rsidP="008C56A6">
      <w:pPr>
        <w:spacing w:before="240" w:after="0" w:line="360" w:lineRule="auto"/>
        <w:jc w:val="both"/>
        <w:rPr>
          <w:rFonts w:ascii="Palatino Linotype" w:hAnsi="Palatino Linotype" w:cs="Arial"/>
          <w:sz w:val="24"/>
        </w:rPr>
      </w:pPr>
      <w:r w:rsidRPr="008C56A6">
        <w:rPr>
          <w:rFonts w:ascii="Palatino Linotype" w:hAnsi="Palatino Linotype" w:cs="Arial"/>
          <w:sz w:val="24"/>
        </w:rPr>
        <w:lastRenderedPageBreak/>
        <w:t xml:space="preserve">Como se puede observar, el artículo en cita es el único dentro de la Ley de </w:t>
      </w:r>
      <w:r w:rsidR="002B3A7E">
        <w:rPr>
          <w:rFonts w:ascii="Palatino Linotype" w:hAnsi="Palatino Linotype" w:cs="Arial"/>
          <w:sz w:val="24"/>
        </w:rPr>
        <w:t>Protección de Datos Personales en Posesión de Sujetos Obligados</w:t>
      </w:r>
      <w:r w:rsidRPr="008C56A6">
        <w:rPr>
          <w:rFonts w:ascii="Palatino Linotype" w:hAnsi="Palatino Linotype" w:cs="Arial"/>
          <w:sz w:val="24"/>
        </w:rPr>
        <w:t xml:space="preserve"> del Estado de México y Municipios, que prevé las causas de procedencia de los recursos de revisión, (sin que se advierta la existencia de alguno otro) por ello es que para que se admita un recurso de revisión se debe actualizar uno de los supuestos previstos en el artículo aludido.</w:t>
      </w:r>
    </w:p>
    <w:p w:rsidR="00AF741C" w:rsidRPr="008C56A6" w:rsidRDefault="00AF741C" w:rsidP="008C56A6">
      <w:pPr>
        <w:spacing w:before="240" w:after="0" w:line="360" w:lineRule="auto"/>
        <w:jc w:val="both"/>
        <w:rPr>
          <w:rFonts w:ascii="Palatino Linotype" w:hAnsi="Palatino Linotype" w:cs="Arial"/>
          <w:sz w:val="24"/>
        </w:rPr>
      </w:pPr>
    </w:p>
    <w:p w:rsidR="00D91796" w:rsidRDefault="00D91796" w:rsidP="008C56A6">
      <w:pPr>
        <w:spacing w:before="240" w:after="0" w:line="360" w:lineRule="auto"/>
        <w:jc w:val="both"/>
        <w:rPr>
          <w:rFonts w:ascii="Palatino Linotype" w:hAnsi="Palatino Linotype"/>
          <w:sz w:val="24"/>
        </w:rPr>
      </w:pPr>
      <w:r w:rsidRPr="008C56A6">
        <w:rPr>
          <w:rFonts w:ascii="Palatino Linotype" w:hAnsi="Palatino Linotype" w:cs="Arial"/>
          <w:sz w:val="24"/>
        </w:rPr>
        <w:t xml:space="preserve">No obstante ello, si al proteger el derecho de acceso a la información y en aras de conseguir la máxima defensa del derecho fundamental de conocer la información gubernamental, se admitió el recurso de revisión para su debido estudio en su forma y en su fondo, es necesario referir que de aparecer una causal de desechamiento, ésta ya no puede ser actualizada para desechar porque el momento procesal oportuno para ello transcurrió de forma perentoria, anterior discernimiento que </w:t>
      </w:r>
      <w:r w:rsidRPr="008C56A6">
        <w:rPr>
          <w:rFonts w:ascii="Palatino Linotype" w:hAnsi="Palatino Linotype"/>
          <w:sz w:val="24"/>
        </w:rPr>
        <w:t>se robustece con el criterio emitido por el Poder Judicial de la Federación a continuación transcrito:</w:t>
      </w:r>
    </w:p>
    <w:p w:rsidR="00AF741C" w:rsidRPr="008C56A6" w:rsidRDefault="00AF741C" w:rsidP="008C56A6">
      <w:pPr>
        <w:spacing w:before="240" w:after="0" w:line="360" w:lineRule="auto"/>
        <w:jc w:val="both"/>
        <w:rPr>
          <w:rFonts w:ascii="Palatino Linotype" w:hAnsi="Palatino Linotype"/>
          <w:sz w:val="24"/>
        </w:rPr>
      </w:pPr>
    </w:p>
    <w:p w:rsidR="00D91796" w:rsidRPr="00BC5FC7" w:rsidRDefault="00D91796" w:rsidP="008C56A6">
      <w:pPr>
        <w:spacing w:before="240" w:after="0" w:line="360" w:lineRule="auto"/>
        <w:ind w:left="851" w:right="992"/>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xml:space="preserve"> EN EL AMPARO. SE ACTUALIZA LA CAUSAL PREVISTA EN EL ARTÍCULO 74, FRACCIÓN IV, DE LA LEY DE LA MATERIA, AUN CUANDO EL JUEZ DE DISTRITO TENGA POR CIERTO EL ACTO RECLAMADO, SI EN EL RECURSO DE QUEJA INTERPUESTO CONTRA LA ADMISIÓN DE LA DEMANDA DE GARANTÍAS O LA DE </w:t>
      </w:r>
      <w:r w:rsidRPr="00BC5FC7">
        <w:rPr>
          <w:rFonts w:ascii="Palatino Linotype" w:hAnsi="Palatino Linotype"/>
          <w:i/>
        </w:rPr>
        <w:lastRenderedPageBreak/>
        <w:t>SU AMPLIACIÓN EL TRIBUNAL COLEGIADO DE CIRCUITO ADVIERTE QUE NO LO ES EN LA FORMA EN QUE SE PLANTEÓ.</w:t>
      </w:r>
    </w:p>
    <w:p w:rsidR="00D91796" w:rsidRPr="00BC5FC7" w:rsidRDefault="00D91796" w:rsidP="008C56A6">
      <w:pPr>
        <w:spacing w:before="240" w:after="0" w:line="360" w:lineRule="auto"/>
        <w:ind w:left="851" w:right="992"/>
        <w:jc w:val="both"/>
        <w:rPr>
          <w:rFonts w:ascii="Palatino Linotype" w:hAnsi="Palatino Linotype"/>
          <w:i/>
        </w:rPr>
      </w:pPr>
      <w:r w:rsidRPr="00BC5FC7">
        <w:rPr>
          <w:rFonts w:ascii="Palatino Linotype" w:hAnsi="Palatino Linotype"/>
          <w:i/>
        </w:rPr>
        <w:t xml:space="preserve">Como el estudio de las causas de sobreseimiento previstas en el artículo </w:t>
      </w:r>
      <w:hyperlink r:id="rId10" w:history="1">
        <w:r w:rsidRPr="00BC5FC7">
          <w:rPr>
            <w:rFonts w:ascii="Palatino Linotype" w:hAnsi="Palatino Linotype"/>
            <w:i/>
          </w:rPr>
          <w:t>74 de la Ley de Amparo</w:t>
        </w:r>
      </w:hyperlink>
      <w:r w:rsidRPr="00BC5FC7">
        <w:rPr>
          <w:rFonts w:ascii="Palatino Linotype" w:hAnsi="Palatino Linotype"/>
          <w:i/>
        </w:rPr>
        <w:t xml:space="preserve"> es de orden público, preferente y de oficio, aun cuando el Juez de Distrito tenga por ciertos los actos atribuidos a las autoridades señaladas como responsables en la demanda de garantías y las normas que integran dicho ordenamiento fijen, como regla general, que su análisis debe realizarse hasta la sentencia que se dicte en la audiencia constitucional, hay casos en los que, por excepción, es válido que pueda hacerse con anterioridad a esa etapa, por lo que si se interpone el recurso de queja en términos de la </w:t>
      </w:r>
      <w:hyperlink r:id="rId11" w:history="1">
        <w:r w:rsidRPr="00BC5FC7">
          <w:rPr>
            <w:rFonts w:ascii="Palatino Linotype" w:hAnsi="Palatino Linotype"/>
            <w:i/>
          </w:rPr>
          <w:t>fracción I del artículo 95</w:t>
        </w:r>
      </w:hyperlink>
      <w:r w:rsidRPr="00BC5FC7">
        <w:rPr>
          <w:rFonts w:ascii="Palatino Linotype" w:hAnsi="Palatino Linotype"/>
          <w:i/>
        </w:rPr>
        <w:t xml:space="preserve"> de la citada ley contra el auto que admite la demanda de garantías o su ampliación, y el Tribunal Colegiado de Circuito que conozca de él advierte, de manera notoria y manifiesta, que el acto reclamado no es cierto en la forma en que se planteó, se actualiza la causal de sobreseimiento contenida en la fracción IV del artículo 74 de la propia ley, por inexistencia de aquél. Lo anterior sucede en el caso de que el quejoso reclame como acto inminente del Congreso y del Pleno del Tribunal Superior de Justicia, ambos del Estado de Veracruz de Ignacio de la Llave, su destitución como Magistrado de este último órgano, debido a que acorde con el artículo </w:t>
      </w:r>
      <w:hyperlink r:id="rId12" w:history="1">
        <w:r w:rsidRPr="00BC5FC7">
          <w:rPr>
            <w:rFonts w:ascii="Palatino Linotype" w:hAnsi="Palatino Linotype"/>
            <w:i/>
          </w:rPr>
          <w:t>59 de la Constitución Política</w:t>
        </w:r>
      </w:hyperlink>
      <w:r w:rsidRPr="00BC5FC7">
        <w:rPr>
          <w:rFonts w:ascii="Palatino Linotype" w:hAnsi="Palatino Linotype"/>
          <w:i/>
        </w:rPr>
        <w:t xml:space="preserve"> de dicha entidad durará en su encargo diez años improrrogables y conforme a un decreto legislativo por el que se designan Magistrados, ese lapso se encuentra próximo a cumplirse, pues es notorio que tal como se plantea, la separación en el cargo, en virtud de la terminación o </w:t>
      </w:r>
      <w:r w:rsidRPr="00BC5FC7">
        <w:rPr>
          <w:rFonts w:ascii="Palatino Linotype" w:hAnsi="Palatino Linotype"/>
          <w:i/>
        </w:rPr>
        <w:lastRenderedPageBreak/>
        <w:t>conclusión de su nombramiento no puede derivar de una determinación unilateral de las indicadas responsables, sino que, evidentemente, emana de la propia disposición constitucional que así lo establece.</w:t>
      </w:r>
    </w:p>
    <w:p w:rsidR="00D91796" w:rsidRPr="00BC5FC7" w:rsidRDefault="00D91796" w:rsidP="008C56A6">
      <w:pPr>
        <w:spacing w:before="240" w:after="0" w:line="360" w:lineRule="auto"/>
        <w:ind w:left="851" w:right="992"/>
        <w:jc w:val="both"/>
        <w:rPr>
          <w:rFonts w:ascii="Palatino Linotype" w:hAnsi="Palatino Linotype"/>
          <w:i/>
        </w:rPr>
      </w:pPr>
      <w:r w:rsidRPr="00BC5FC7">
        <w:rPr>
          <w:rFonts w:ascii="Palatino Linotype" w:hAnsi="Palatino Linotype"/>
          <w:i/>
        </w:rPr>
        <w:t>PRIMER TRIBUNAL COLEGIADO EN MATERIA ADMINISTRATIVA DEL SÉPTIMO CIRCUITO.</w:t>
      </w:r>
    </w:p>
    <w:p w:rsidR="00D91796" w:rsidRDefault="00D91796" w:rsidP="008C56A6">
      <w:pPr>
        <w:spacing w:before="240" w:after="0" w:line="360" w:lineRule="auto"/>
        <w:ind w:left="851" w:right="992"/>
        <w:jc w:val="both"/>
        <w:rPr>
          <w:rFonts w:ascii="Palatino Linotype" w:hAnsi="Palatino Linotype"/>
          <w:i/>
        </w:rPr>
      </w:pPr>
      <w:r w:rsidRPr="00BC5FC7">
        <w:rPr>
          <w:rFonts w:ascii="Palatino Linotype" w:hAnsi="Palatino Linotype"/>
          <w:i/>
        </w:rPr>
        <w:t xml:space="preserve">Queja 3/2011. Alfredo Algarín Vega. 31 de marzo de 2011. Unanimidad de votos. Ponente: Eliel E. </w:t>
      </w:r>
      <w:proofErr w:type="spellStart"/>
      <w:r w:rsidRPr="00BC5FC7">
        <w:rPr>
          <w:rFonts w:ascii="Palatino Linotype" w:hAnsi="Palatino Linotype"/>
          <w:i/>
        </w:rPr>
        <w:t>Fitta</w:t>
      </w:r>
      <w:proofErr w:type="spellEnd"/>
      <w:r w:rsidRPr="00BC5FC7">
        <w:rPr>
          <w:rFonts w:ascii="Palatino Linotype" w:hAnsi="Palatino Linotype"/>
          <w:i/>
        </w:rPr>
        <w:t xml:space="preserve"> García. Secretario: Vicente Jasso Zavala.”</w:t>
      </w:r>
    </w:p>
    <w:p w:rsidR="00AF741C" w:rsidRPr="00BC5FC7" w:rsidRDefault="00AF741C" w:rsidP="008C56A6">
      <w:pPr>
        <w:spacing w:before="240" w:after="0" w:line="360" w:lineRule="auto"/>
        <w:ind w:left="851" w:right="992"/>
        <w:jc w:val="both"/>
        <w:rPr>
          <w:rFonts w:ascii="Palatino Linotype" w:hAnsi="Palatino Linotype"/>
          <w:i/>
        </w:rPr>
      </w:pPr>
    </w:p>
    <w:p w:rsidR="00D91796" w:rsidRDefault="00D91796" w:rsidP="00F5487D">
      <w:pPr>
        <w:spacing w:before="240" w:line="360" w:lineRule="auto"/>
        <w:jc w:val="both"/>
        <w:rPr>
          <w:rFonts w:ascii="Palatino Linotype" w:hAnsi="Palatino Linotype"/>
          <w:sz w:val="24"/>
        </w:rPr>
      </w:pPr>
      <w:r w:rsidRPr="008C56A6">
        <w:rPr>
          <w:rFonts w:ascii="Palatino Linotype" w:hAnsi="Palatino Linotype"/>
          <w:sz w:val="24"/>
        </w:rPr>
        <w:t>Es decir, al admitirse un recurso de revisión es porque se considera que es procedente y que por ello no se desechó, pero una vez admitido aparece una causal de desechamiento, entonces lo que procede es sobreseer el asunto</w:t>
      </w:r>
      <w:r w:rsidR="002B3A7E">
        <w:rPr>
          <w:rFonts w:ascii="Palatino Linotype" w:hAnsi="Palatino Linotype"/>
          <w:sz w:val="24"/>
        </w:rPr>
        <w:t xml:space="preserve"> como lo refiere el artículo 139 fracción III</w:t>
      </w:r>
      <w:r w:rsidRPr="008C56A6">
        <w:rPr>
          <w:rFonts w:ascii="Palatino Linotype" w:hAnsi="Palatino Linotype"/>
          <w:sz w:val="24"/>
        </w:rPr>
        <w:t xml:space="preserve"> de la Ley </w:t>
      </w:r>
      <w:r w:rsidR="002B3A7E">
        <w:rPr>
          <w:rFonts w:ascii="Palatino Linotype" w:hAnsi="Palatino Linotype"/>
          <w:sz w:val="24"/>
        </w:rPr>
        <w:t xml:space="preserve">en materia </w:t>
      </w:r>
      <w:r w:rsidRPr="008C56A6">
        <w:rPr>
          <w:rFonts w:ascii="Palatino Linotype" w:hAnsi="Palatino Linotype"/>
          <w:sz w:val="24"/>
        </w:rPr>
        <w:t>que establece:</w:t>
      </w:r>
    </w:p>
    <w:p w:rsidR="00AF741C" w:rsidRPr="008C56A6" w:rsidRDefault="00AF741C" w:rsidP="00F5487D">
      <w:pPr>
        <w:spacing w:before="240" w:line="360" w:lineRule="auto"/>
        <w:jc w:val="both"/>
        <w:rPr>
          <w:rFonts w:ascii="Palatino Linotype" w:hAnsi="Palatino Linotype"/>
          <w:sz w:val="24"/>
        </w:rPr>
      </w:pPr>
    </w:p>
    <w:p w:rsidR="002B3A7E" w:rsidRPr="00BC5FC7" w:rsidRDefault="00FE7983" w:rsidP="00F5487D">
      <w:pPr>
        <w:spacing w:before="240" w:line="360" w:lineRule="auto"/>
        <w:ind w:left="851" w:right="1134"/>
        <w:jc w:val="both"/>
        <w:rPr>
          <w:rFonts w:ascii="Palatino Linotype" w:hAnsi="Palatino Linotype" w:cs="Arial"/>
          <w:i/>
        </w:rPr>
      </w:pPr>
      <w:r w:rsidRPr="00FE7983">
        <w:rPr>
          <w:rFonts w:ascii="Palatino Linotype" w:hAnsi="Palatino Linotype" w:cs="Arial"/>
          <w:i/>
        </w:rPr>
        <w:t>Artículo 139. El recurso de revisión sólo podrá ser sobreseído cuando:</w:t>
      </w:r>
      <w:r w:rsidRPr="00FE7983">
        <w:rPr>
          <w:rFonts w:ascii="Palatino Linotype" w:hAnsi="Palatino Linotype" w:cs="Arial"/>
          <w:i/>
        </w:rPr>
        <w:cr/>
      </w:r>
      <w:r w:rsidR="002B3A7E">
        <w:rPr>
          <w:rFonts w:ascii="Palatino Linotype" w:hAnsi="Palatino Linotype" w:cs="Arial"/>
          <w:i/>
        </w:rPr>
        <w:t>……</w:t>
      </w:r>
    </w:p>
    <w:p w:rsidR="00AF741C" w:rsidRPr="00BC5FC7" w:rsidRDefault="00FE7983" w:rsidP="00FE7983">
      <w:pPr>
        <w:spacing w:before="240" w:line="360" w:lineRule="auto"/>
        <w:ind w:left="851" w:right="1131"/>
        <w:jc w:val="both"/>
        <w:rPr>
          <w:rFonts w:ascii="Palatino Linotype" w:hAnsi="Palatino Linotype"/>
        </w:rPr>
      </w:pPr>
      <w:r w:rsidRPr="00FE7983">
        <w:rPr>
          <w:rFonts w:ascii="Palatino Linotype" w:hAnsi="Palatino Linotype" w:cs="Arial"/>
          <w:i/>
        </w:rPr>
        <w:t>III. Admitido el recurso de revisión, se actualice alguna causal de improcedencia en los términos de la</w:t>
      </w:r>
      <w:r>
        <w:rPr>
          <w:rFonts w:ascii="Palatino Linotype" w:hAnsi="Palatino Linotype" w:cs="Arial"/>
          <w:i/>
        </w:rPr>
        <w:t xml:space="preserve"> </w:t>
      </w:r>
      <w:r w:rsidRPr="00FE7983">
        <w:rPr>
          <w:rFonts w:ascii="Palatino Linotype" w:hAnsi="Palatino Linotype" w:cs="Arial"/>
          <w:i/>
        </w:rPr>
        <w:t>presente Ley.</w:t>
      </w:r>
      <w:r w:rsidRPr="00FE7983">
        <w:rPr>
          <w:rFonts w:ascii="Palatino Linotype" w:hAnsi="Palatino Linotype" w:cs="Arial"/>
          <w:i/>
        </w:rPr>
        <w:cr/>
      </w:r>
    </w:p>
    <w:p w:rsidR="00D91796" w:rsidRPr="008C56A6" w:rsidRDefault="00D91796" w:rsidP="00F5487D">
      <w:pPr>
        <w:pStyle w:val="Prrafodelista"/>
        <w:autoSpaceDE w:val="0"/>
        <w:autoSpaceDN w:val="0"/>
        <w:adjustRightInd w:val="0"/>
        <w:spacing w:before="240" w:line="360" w:lineRule="auto"/>
        <w:ind w:left="0"/>
        <w:jc w:val="both"/>
        <w:rPr>
          <w:rFonts w:ascii="Palatino Linotype" w:hAnsi="Palatino Linotype" w:cs="Arial"/>
          <w:sz w:val="24"/>
        </w:rPr>
      </w:pPr>
      <w:r w:rsidRPr="008C56A6">
        <w:rPr>
          <w:rFonts w:ascii="Palatino Linotype" w:hAnsi="Palatino Linotype" w:cs="Arial"/>
          <w:sz w:val="24"/>
        </w:rPr>
        <w:lastRenderedPageBreak/>
        <w:t xml:space="preserve">Es necesario referir que la causa de improcedencia apareció en el recurso de revisión en el momento en que se admitió, respecto a este punto </w:t>
      </w:r>
      <w:r w:rsidRPr="008C56A6">
        <w:rPr>
          <w:rFonts w:ascii="Palatino Linotype" w:hAnsi="Palatino Linotype" w:cs="Arial"/>
          <w:b/>
          <w:sz w:val="24"/>
          <w:u w:val="single"/>
        </w:rPr>
        <w:t>la Ley en la materia no establece algún momento en específico en que deba aparecer una causal de improcedencia</w:t>
      </w:r>
      <w:r w:rsidRPr="008C56A6">
        <w:rPr>
          <w:rFonts w:ascii="Palatino Linotype" w:hAnsi="Palatino Linotype" w:cs="Arial"/>
          <w:sz w:val="24"/>
        </w:rPr>
        <w:t xml:space="preserve">, sino que de forma general refiere “aparezca”, </w:t>
      </w:r>
      <w:r w:rsidRPr="008C56A6">
        <w:rPr>
          <w:rFonts w:ascii="Palatino Linotype" w:hAnsi="Palatino Linotype" w:cs="Arial"/>
          <w:b/>
          <w:sz w:val="24"/>
          <w:u w:val="single"/>
        </w:rPr>
        <w:t>lo cual puede ocurrir en cualquier momento</w:t>
      </w:r>
      <w:r w:rsidRPr="008C56A6">
        <w:rPr>
          <w:rFonts w:ascii="Palatino Linotype" w:hAnsi="Palatino Linotype" w:cs="Arial"/>
          <w:sz w:val="24"/>
        </w:rPr>
        <w:t xml:space="preserve"> durante la tramitación del recurso de revisión.</w:t>
      </w:r>
    </w:p>
    <w:p w:rsidR="00F5487D" w:rsidRDefault="00F5487D" w:rsidP="00F5487D">
      <w:pPr>
        <w:pStyle w:val="Prrafodelista"/>
        <w:autoSpaceDE w:val="0"/>
        <w:autoSpaceDN w:val="0"/>
        <w:adjustRightInd w:val="0"/>
        <w:spacing w:before="240" w:line="360" w:lineRule="auto"/>
        <w:ind w:left="0"/>
        <w:jc w:val="both"/>
        <w:rPr>
          <w:rFonts w:ascii="Palatino Linotype" w:hAnsi="Palatino Linotype" w:cs="Arial"/>
          <w:sz w:val="24"/>
        </w:rPr>
      </w:pPr>
    </w:p>
    <w:p w:rsidR="00F5487D" w:rsidRPr="008C56A6" w:rsidRDefault="00D91796" w:rsidP="00F5487D">
      <w:pPr>
        <w:pStyle w:val="Prrafodelista"/>
        <w:autoSpaceDE w:val="0"/>
        <w:autoSpaceDN w:val="0"/>
        <w:adjustRightInd w:val="0"/>
        <w:spacing w:before="240" w:line="360" w:lineRule="auto"/>
        <w:ind w:left="0"/>
        <w:jc w:val="both"/>
        <w:rPr>
          <w:rFonts w:ascii="Palatino Linotype" w:hAnsi="Palatino Linotype" w:cs="Arial"/>
          <w:sz w:val="24"/>
        </w:rPr>
      </w:pPr>
      <w:r w:rsidRPr="008C56A6">
        <w:rPr>
          <w:rFonts w:ascii="Palatino Linotype" w:hAnsi="Palatino Linotype" w:cs="Arial"/>
          <w:sz w:val="24"/>
        </w:rPr>
        <w:t>De toral importancia resulta decir que la tramitación de los recursos que nos ocupa, tiene un principio y un fin, lo cual se entiende desde que se admite hasta que se emite la resolución que en derecho procede, durante todo ese lapso de tiempo puede aparecer una causal de improcedencia la cual no puede considerarse que este fuera de la tramitación del recurso de revisión si ocurre en la admisión, porque dicho acto de autoridad es el inicio, el cual forma parte del recurso.</w:t>
      </w:r>
    </w:p>
    <w:p w:rsidR="00F5487D" w:rsidRDefault="00F5487D" w:rsidP="00F5487D">
      <w:pPr>
        <w:pStyle w:val="Prrafodelista"/>
        <w:autoSpaceDE w:val="0"/>
        <w:autoSpaceDN w:val="0"/>
        <w:adjustRightInd w:val="0"/>
        <w:spacing w:before="240" w:line="360" w:lineRule="auto"/>
        <w:ind w:left="0"/>
        <w:jc w:val="both"/>
        <w:rPr>
          <w:rFonts w:ascii="Palatino Linotype" w:hAnsi="Palatino Linotype" w:cs="Arial"/>
          <w:sz w:val="24"/>
        </w:rPr>
      </w:pPr>
    </w:p>
    <w:p w:rsidR="00D91796" w:rsidRPr="008C56A6" w:rsidRDefault="00D91796" w:rsidP="00F5487D">
      <w:pPr>
        <w:pStyle w:val="Prrafodelista"/>
        <w:autoSpaceDE w:val="0"/>
        <w:autoSpaceDN w:val="0"/>
        <w:adjustRightInd w:val="0"/>
        <w:spacing w:before="240" w:line="360" w:lineRule="auto"/>
        <w:ind w:left="0"/>
        <w:jc w:val="both"/>
        <w:rPr>
          <w:rFonts w:ascii="Palatino Linotype" w:hAnsi="Palatino Linotype" w:cs="Arial"/>
          <w:sz w:val="24"/>
        </w:rPr>
      </w:pPr>
      <w:r w:rsidRPr="008C56A6">
        <w:rPr>
          <w:rFonts w:ascii="Palatino Linotype" w:hAnsi="Palatino Linotype" w:cs="Arial"/>
          <w:sz w:val="24"/>
        </w:rPr>
        <w:t>Por ende en el presente asunto aparece la causal de improcedencia en el momento de admitir el recurso de revisión por que se solicita información que no se refiere a información pública, ahora bien, el señalar o dar cuenta de la existencia de una causa de improcedencia es distinta al momento en que aquella aparece.</w:t>
      </w:r>
    </w:p>
    <w:p w:rsidR="00F5487D" w:rsidRDefault="00F5487D" w:rsidP="00F5487D">
      <w:pPr>
        <w:pStyle w:val="Prrafodelista"/>
        <w:autoSpaceDE w:val="0"/>
        <w:autoSpaceDN w:val="0"/>
        <w:adjustRightInd w:val="0"/>
        <w:spacing w:before="240" w:line="360" w:lineRule="auto"/>
        <w:ind w:left="0"/>
        <w:jc w:val="both"/>
        <w:rPr>
          <w:rFonts w:ascii="Palatino Linotype" w:hAnsi="Palatino Linotype" w:cs="Arial"/>
          <w:sz w:val="24"/>
        </w:rPr>
      </w:pPr>
    </w:p>
    <w:p w:rsidR="00D91796" w:rsidRPr="008C56A6" w:rsidRDefault="00D91796" w:rsidP="00F5487D">
      <w:pPr>
        <w:pStyle w:val="Prrafodelista"/>
        <w:autoSpaceDE w:val="0"/>
        <w:autoSpaceDN w:val="0"/>
        <w:adjustRightInd w:val="0"/>
        <w:spacing w:before="240" w:line="360" w:lineRule="auto"/>
        <w:ind w:left="0"/>
        <w:jc w:val="both"/>
        <w:rPr>
          <w:rFonts w:ascii="Palatino Linotype" w:hAnsi="Palatino Linotype" w:cs="Arial"/>
          <w:sz w:val="24"/>
        </w:rPr>
      </w:pPr>
      <w:r w:rsidRPr="008C56A6">
        <w:rPr>
          <w:rFonts w:ascii="Palatino Linotype" w:hAnsi="Palatino Linotype" w:cs="Arial"/>
          <w:sz w:val="24"/>
        </w:rPr>
        <w:t xml:space="preserve">En efecto, son dos cuestiones diversas, una atañe a los autos del expediente en que se resuelve cuya instrumentación (u ordinaria forma de transcurrir el procedimiento) trae como consecuencia la aparición de alguna causa de improcedencia, como en el </w:t>
      </w:r>
      <w:r w:rsidRPr="008C56A6">
        <w:rPr>
          <w:rFonts w:ascii="Palatino Linotype" w:hAnsi="Palatino Linotype" w:cs="Arial"/>
          <w:sz w:val="24"/>
        </w:rPr>
        <w:lastRenderedPageBreak/>
        <w:t>presente caso que el recurrente solicita un derecho de petición, en la solicitud de información y la segunda a las atribuciones de este ente colegiado para resolver estudiando todas las constancias que obran en los expedientes, cuya encomienda engloba el señalar o dar cuenta de la actualización de una causa de improcedencia.</w:t>
      </w:r>
    </w:p>
    <w:p w:rsidR="00F5487D" w:rsidRDefault="00F5487D" w:rsidP="00F5487D">
      <w:pPr>
        <w:pStyle w:val="Prrafodelista"/>
        <w:autoSpaceDE w:val="0"/>
        <w:autoSpaceDN w:val="0"/>
        <w:adjustRightInd w:val="0"/>
        <w:spacing w:before="240" w:line="360" w:lineRule="auto"/>
        <w:ind w:left="0"/>
        <w:jc w:val="both"/>
        <w:rPr>
          <w:rFonts w:ascii="Palatino Linotype" w:hAnsi="Palatino Linotype" w:cs="Arial"/>
          <w:sz w:val="24"/>
        </w:rPr>
      </w:pPr>
    </w:p>
    <w:p w:rsidR="00D91796" w:rsidRPr="008C56A6" w:rsidRDefault="00D91796" w:rsidP="00F5487D">
      <w:pPr>
        <w:pStyle w:val="Prrafodelista"/>
        <w:autoSpaceDE w:val="0"/>
        <w:autoSpaceDN w:val="0"/>
        <w:adjustRightInd w:val="0"/>
        <w:spacing w:before="240" w:line="360" w:lineRule="auto"/>
        <w:ind w:left="0"/>
        <w:jc w:val="both"/>
        <w:rPr>
          <w:rFonts w:ascii="Palatino Linotype" w:hAnsi="Palatino Linotype" w:cs="Arial"/>
          <w:sz w:val="24"/>
        </w:rPr>
      </w:pPr>
      <w:r w:rsidRPr="008C56A6">
        <w:rPr>
          <w:rFonts w:ascii="Palatino Linotype" w:hAnsi="Palatino Linotype" w:cs="Arial"/>
          <w:sz w:val="24"/>
        </w:rPr>
        <w:t>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el Instituto tenga conocimiento del expediente, en el presente caso, el desechamiento tuvo que haberse realizado desde el momento en que se  presentó la solicitud de información, o bien al momento de admisión de dicho recurso de revisión.</w:t>
      </w:r>
    </w:p>
    <w:p w:rsidR="00F5487D" w:rsidRDefault="00D91796" w:rsidP="00F5487D">
      <w:pPr>
        <w:pStyle w:val="Prrafodelista"/>
        <w:autoSpaceDE w:val="0"/>
        <w:autoSpaceDN w:val="0"/>
        <w:adjustRightInd w:val="0"/>
        <w:spacing w:before="240" w:line="360" w:lineRule="auto"/>
        <w:ind w:left="0"/>
        <w:jc w:val="both"/>
        <w:rPr>
          <w:rFonts w:ascii="Palatino Linotype" w:hAnsi="Palatino Linotype"/>
          <w:sz w:val="24"/>
        </w:rPr>
      </w:pPr>
      <w:r w:rsidRPr="008C56A6">
        <w:rPr>
          <w:rFonts w:ascii="Palatino Linotype" w:hAnsi="Palatino Linotype"/>
          <w:sz w:val="24"/>
        </w:rPr>
        <w:t xml:space="preserve"> </w:t>
      </w:r>
    </w:p>
    <w:p w:rsidR="00D91796" w:rsidRPr="008C56A6" w:rsidRDefault="00D91796" w:rsidP="00C46EB9">
      <w:pPr>
        <w:pStyle w:val="Prrafodelista"/>
        <w:autoSpaceDE w:val="0"/>
        <w:autoSpaceDN w:val="0"/>
        <w:adjustRightInd w:val="0"/>
        <w:spacing w:before="240" w:line="360" w:lineRule="auto"/>
        <w:ind w:left="0"/>
        <w:jc w:val="both"/>
        <w:rPr>
          <w:rFonts w:ascii="Palatino Linotype" w:hAnsi="Palatino Linotype"/>
          <w:sz w:val="24"/>
        </w:rPr>
      </w:pPr>
      <w:r w:rsidRPr="008C56A6">
        <w:rPr>
          <w:rFonts w:ascii="Palatino Linotype" w:hAnsi="Palatino Linotype"/>
          <w:sz w:val="24"/>
        </w:rPr>
        <w:t xml:space="preserve">Por último, debemos decir que el recurso de revisión en cuestión, en su Considerando Tercero en el que se hace un análisis </w:t>
      </w:r>
      <w:r w:rsidR="005427B1" w:rsidRPr="008C56A6">
        <w:rPr>
          <w:rFonts w:ascii="Palatino Linotype" w:hAnsi="Palatino Linotype"/>
          <w:sz w:val="24"/>
        </w:rPr>
        <w:t xml:space="preserve">del </w:t>
      </w:r>
      <w:proofErr w:type="spellStart"/>
      <w:r w:rsidR="005427B1" w:rsidRPr="008C56A6">
        <w:rPr>
          <w:rFonts w:ascii="Palatino Linotype" w:hAnsi="Palatino Linotype"/>
          <w:sz w:val="24"/>
        </w:rPr>
        <w:t>desechamemiento</w:t>
      </w:r>
      <w:proofErr w:type="spellEnd"/>
      <w:r w:rsidR="005427B1" w:rsidRPr="008C56A6">
        <w:rPr>
          <w:rFonts w:ascii="Palatino Linotype" w:hAnsi="Palatino Linotype"/>
          <w:sz w:val="24"/>
        </w:rPr>
        <w:t xml:space="preserve"> del recurso de revisión</w:t>
      </w:r>
      <w:r w:rsidR="00C46EB9">
        <w:rPr>
          <w:rFonts w:ascii="Palatino Linotype" w:hAnsi="Palatino Linotype"/>
          <w:sz w:val="24"/>
        </w:rPr>
        <w:t xml:space="preserve">, </w:t>
      </w:r>
      <w:r w:rsidR="00044820" w:rsidRPr="008C56A6">
        <w:rPr>
          <w:rFonts w:ascii="Palatino Linotype" w:hAnsi="Palatino Linotype"/>
          <w:sz w:val="24"/>
        </w:rPr>
        <w:t xml:space="preserve">no se comparte por </w:t>
      </w:r>
      <w:r w:rsidR="00E73298">
        <w:rPr>
          <w:rFonts w:ascii="Palatino Linotype" w:hAnsi="Palatino Linotype"/>
          <w:sz w:val="24"/>
        </w:rPr>
        <w:t>la que suscribe</w:t>
      </w:r>
      <w:r w:rsidRPr="008C56A6">
        <w:rPr>
          <w:rFonts w:ascii="Palatino Linotype" w:hAnsi="Palatino Linotype"/>
          <w:sz w:val="24"/>
        </w:rPr>
        <w:t xml:space="preserve">, porque el recurso de revisión de mérito ya fue admitido y por ende es procedente de conformidad al acuerdo de fecha </w:t>
      </w:r>
      <w:r w:rsidR="00C46EB9">
        <w:rPr>
          <w:rFonts w:ascii="Palatino Linotype" w:hAnsi="Palatino Linotype"/>
          <w:sz w:val="24"/>
        </w:rPr>
        <w:t>nueve de marzo de dos mil dieciocho</w:t>
      </w:r>
      <w:r w:rsidRPr="008C56A6">
        <w:rPr>
          <w:rFonts w:ascii="Palatino Linotype" w:hAnsi="Palatino Linotype"/>
          <w:sz w:val="24"/>
        </w:rPr>
        <w:t xml:space="preserve"> anteriormente insertado, por lo que hacer el análisis a las causales de improcedencia en la resolución es redundante, no obstante ello, de aparecer una causa de improcedencia una vez admitido (como en el presente caso sí </w:t>
      </w:r>
      <w:r w:rsidRPr="008C56A6">
        <w:rPr>
          <w:rFonts w:ascii="Palatino Linotype" w:hAnsi="Palatino Linotype"/>
          <w:sz w:val="24"/>
        </w:rPr>
        <w:lastRenderedPageBreak/>
        <w:t>ocurrió), lo que corresponde es sobreseer los asuntos y no desecharlos, porque ese momento procesal oportuno feneció.</w:t>
      </w:r>
    </w:p>
    <w:p w:rsidR="00D91796" w:rsidRPr="008C56A6" w:rsidRDefault="00D91796" w:rsidP="00F5487D">
      <w:pPr>
        <w:spacing w:before="240" w:line="360" w:lineRule="auto"/>
        <w:jc w:val="both"/>
        <w:rPr>
          <w:rFonts w:ascii="Palatino Linotype" w:hAnsi="Palatino Linotype"/>
          <w:sz w:val="24"/>
        </w:rPr>
      </w:pPr>
      <w:r w:rsidRPr="008C56A6">
        <w:rPr>
          <w:rFonts w:ascii="Palatino Linotype" w:hAnsi="Palatino Linotype"/>
          <w:sz w:val="24"/>
        </w:rPr>
        <w:t xml:space="preserve">Cabe destacar que </w:t>
      </w:r>
      <w:r w:rsidR="00AF741C">
        <w:rPr>
          <w:rFonts w:ascii="Palatino Linotype" w:hAnsi="Palatino Linotype"/>
          <w:sz w:val="24"/>
        </w:rPr>
        <w:t>los suscritos</w:t>
      </w:r>
      <w:r w:rsidRPr="008C56A6">
        <w:rPr>
          <w:rFonts w:ascii="Palatino Linotype" w:hAnsi="Palatino Linotype"/>
          <w:sz w:val="24"/>
        </w:rPr>
        <w:t xml:space="preserve"> vota</w:t>
      </w:r>
      <w:r w:rsidR="00AF741C">
        <w:rPr>
          <w:rFonts w:ascii="Palatino Linotype" w:hAnsi="Palatino Linotype"/>
          <w:sz w:val="24"/>
        </w:rPr>
        <w:t>n</w:t>
      </w:r>
      <w:r w:rsidRPr="008C56A6">
        <w:rPr>
          <w:rFonts w:ascii="Palatino Linotype" w:hAnsi="Palatino Linotype"/>
          <w:sz w:val="24"/>
        </w:rPr>
        <w:t xml:space="preserve"> a favor porque comparte la postura de que el presente asunto es improcedente, por el hecho de que se refiere a un derecho de petición el recurso de revisión, lo que no es compartido es el sentido con el que se resolvió, ya que como se ha referido anteriormente, la Ley </w:t>
      </w:r>
      <w:r w:rsidRPr="008C56A6">
        <w:rPr>
          <w:rFonts w:ascii="Palatino Linotype" w:hAnsi="Palatino Linotype" w:cs="Arial"/>
          <w:sz w:val="24"/>
        </w:rPr>
        <w:t xml:space="preserve">de </w:t>
      </w:r>
      <w:r w:rsidR="00C46EB9">
        <w:rPr>
          <w:rFonts w:ascii="Palatino Linotype" w:hAnsi="Palatino Linotype" w:cs="Arial"/>
          <w:sz w:val="24"/>
        </w:rPr>
        <w:br/>
        <w:t>Protección de Datos Personales en Posesión de Sujetos Obligados</w:t>
      </w:r>
      <w:r w:rsidRPr="008C56A6">
        <w:rPr>
          <w:rFonts w:ascii="Palatino Linotype" w:hAnsi="Palatino Linotype" w:cs="Arial"/>
          <w:sz w:val="24"/>
        </w:rPr>
        <w:t xml:space="preserve"> del Estado de México y Municipios</w:t>
      </w:r>
      <w:r w:rsidRPr="008C56A6">
        <w:rPr>
          <w:rFonts w:ascii="Palatino Linotype" w:hAnsi="Palatino Linotype"/>
          <w:sz w:val="24"/>
        </w:rPr>
        <w:t xml:space="preserve"> no contempla el desechamiento una vez admitido el recurso, lo que dicha Ley establece es la figura del sobreseimiento si aparece una causa de improcedencia (como en el presente caso </w:t>
      </w:r>
      <w:r w:rsidRPr="008C56A6">
        <w:rPr>
          <w:rFonts w:ascii="Palatino Linotype" w:hAnsi="Palatino Linotype" w:cs="Arial"/>
          <w:sz w:val="24"/>
        </w:rPr>
        <w:t>que el recurrente solicita un derecho de petición no así un derecho de acceso a información pública</w:t>
      </w:r>
      <w:r w:rsidRPr="008C56A6">
        <w:rPr>
          <w:rFonts w:ascii="Palatino Linotype" w:hAnsi="Palatino Linotype"/>
          <w:sz w:val="24"/>
        </w:rPr>
        <w:t>).</w:t>
      </w:r>
    </w:p>
    <w:p w:rsidR="00D91796" w:rsidRDefault="00D91796" w:rsidP="008C56A6">
      <w:pPr>
        <w:spacing w:before="240" w:after="0" w:line="360" w:lineRule="auto"/>
        <w:jc w:val="both"/>
        <w:rPr>
          <w:rFonts w:ascii="Palatino Linotype" w:hAnsi="Palatino Linotype"/>
        </w:rPr>
      </w:pPr>
    </w:p>
    <w:p w:rsidR="00FE7983" w:rsidRPr="00BC5FC7" w:rsidRDefault="00FE7983" w:rsidP="008C56A6">
      <w:pPr>
        <w:spacing w:before="240" w:after="0" w:line="360" w:lineRule="auto"/>
        <w:jc w:val="both"/>
        <w:rPr>
          <w:rFonts w:ascii="Palatino Linotype" w:hAnsi="Palatino Linotype"/>
        </w:rPr>
      </w:pPr>
    </w:p>
    <w:p w:rsidR="00AF741C" w:rsidRDefault="00AF741C" w:rsidP="008C56A6">
      <w:pPr>
        <w:spacing w:before="240" w:after="0" w:line="360" w:lineRule="auto"/>
        <w:jc w:val="both"/>
        <w:rPr>
          <w:rFonts w:ascii="Palatino Linotype" w:hAnsi="Palatino Linotype"/>
          <w:b/>
          <w:sz w:val="24"/>
          <w:szCs w:val="24"/>
        </w:rPr>
      </w:pP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A3393F4" wp14:editId="07BFDDEC">
                <wp:simplePos x="0" y="0"/>
                <wp:positionH relativeFrom="page">
                  <wp:posOffset>4874895</wp:posOffset>
                </wp:positionH>
                <wp:positionV relativeFrom="paragraph">
                  <wp:posOffset>384270</wp:posOffset>
                </wp:positionV>
                <wp:extent cx="2133600" cy="943661"/>
                <wp:effectExtent l="0" t="0" r="19050" b="27940"/>
                <wp:wrapNone/>
                <wp:docPr id="13" name="Cuadro de texto 13"/>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F741C" w:rsidRPr="00EF2FC0" w:rsidRDefault="00AF741C" w:rsidP="00AF741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F741C" w:rsidRPr="00EF2FC0" w:rsidRDefault="00AF741C" w:rsidP="00AF741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F741C" w:rsidRDefault="00AF741C" w:rsidP="00AF7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393F4" id="_x0000_t202" coordsize="21600,21600" o:spt="202" path="m,l,21600r21600,l21600,xe">
                <v:stroke joinstyle="miter"/>
                <v:path gradientshapeok="t" o:connecttype="rect"/>
              </v:shapetype>
              <v:shape id="Cuadro de texto 13" o:spid="_x0000_s1026" type="#_x0000_t202" style="position:absolute;left:0;text-align:left;margin-left:383.85pt;margin-top:30.25pt;width:168pt;height:7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SWjwIAAJM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KqzdmBLL&#10;DNZouWWVB1IJEkUTgaAEaapdmCH60SE+Nl+hQZX+PeBjyr6R3qQ/5kVQjoTvDySjKcLxcTQcj6cD&#10;FHGUXUzG02k2Uxy1nQ/xmwBD0qGkHouYuWW72xAxEoT2kOTMwo3SOhdSW1KXdDo+H2SFAFpVSZhg&#10;uaXEUnuyY9gMq3Xv9gSFlrVNYJFbp3OXMm8zzKe41yJhtP0hJFKXE33DA+Nc2Nh7yeiEkhjPexQ7&#10;/DGq9yi3eaBG9gw2HpSNsuBbltKsHYmpfvUhyxaPhJ/knY6xWTVdR6yg2mNDeGgnKzh+o7BqtyzE&#10;B+ZxlLDQuB7iPX6kBqwOdCdKNuD/vPWe8NjhKKWkxtEsafi9ZV5Qor9b7P2L4WSSZjlfJuefR3jx&#10;p5LVqcRuzRKw4ENcRI7nY8JH3R+lB/OMW2SRvKKIWY6+Sxr74zK2CwO3EBeLRQbh9DoWb+2j48l0&#10;ojf15FPzzLzrGjdNzx30Q8xmr/q3xSZNC4ttBKlycyeCW1Y74nHyc893WyqtltN7Rh136fwFAAD/&#10;/wMAUEsDBBQABgAIAAAAIQCTVkKN4AAAAAsBAAAPAAAAZHJzL2Rvd25yZXYueG1sTI9BTsMwEEX3&#10;SNzBGiR21E4QCQ2ZVIDKpiwKpQdwY5NEtcdR7KQpp8ddwXJmnv68X65ma9ikB985QkgWApim2qmO&#10;GoT919vdIzAfJClpHGmEs/awqq6vSlkod6JPPe1Cw2II+UIitCH0Bee+brWVfuF6TfH27QYrQxyH&#10;hqtBnmK4NTwVIuNWdhQ/tLLXr62uj7vRIizt+piP5n0zffQ/5zH1+832ZY14ezM/PwELeg5/MFz0&#10;ozpU0engRlKeGYQ8y/OIImTiAdgFSMR93BwQUrFMgFcl/9+h+gUAAP//AwBQSwECLQAUAAYACAAA&#10;ACEAtoM4kv4AAADhAQAAEwAAAAAAAAAAAAAAAAAAAAAAW0NvbnRlbnRfVHlwZXNdLnhtbFBLAQIt&#10;ABQABgAIAAAAIQA4/SH/1gAAAJQBAAALAAAAAAAAAAAAAAAAAC8BAABfcmVscy8ucmVsc1BLAQIt&#10;ABQABgAIAAAAIQC3sYSWjwIAAJMFAAAOAAAAAAAAAAAAAAAAAC4CAABkcnMvZTJvRG9jLnhtbFBL&#10;AQItABQABgAIAAAAIQCTVkKN4AAAAAsBAAAPAAAAAAAAAAAAAAAAAOkEAABkcnMvZG93bnJldi54&#10;bWxQSwUGAAAAAAQABADzAAAA9gUAAAAA&#10;" filled="f" strokecolor="white [3212]" strokeweight=".5pt">
                <v:textbox>
                  <w:txbxContent>
                    <w:p w:rsidR="00AF741C" w:rsidRPr="00EF2FC0" w:rsidRDefault="00AF741C" w:rsidP="00AF741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F741C" w:rsidRPr="00EF2FC0" w:rsidRDefault="00AF741C" w:rsidP="00AF741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F741C" w:rsidRDefault="00AF741C" w:rsidP="00AF741C"/>
                  </w:txbxContent>
                </v:textbox>
                <w10:wrap anchorx="page"/>
              </v:shape>
            </w:pict>
          </mc:Fallback>
        </mc:AlternateContent>
      </w:r>
      <w:r w:rsidRPr="00D54B7D">
        <w:rPr>
          <w:rFonts w:ascii="Palatino Linotype" w:hAnsi="Palatino Linotype"/>
          <w:noProof/>
          <w:lang w:eastAsia="es-MX"/>
        </w:rPr>
        <mc:AlternateContent>
          <mc:Choice Requires="wps">
            <w:drawing>
              <wp:anchor distT="45720" distB="45720" distL="114300" distR="114300" simplePos="0" relativeHeight="251665408" behindDoc="0" locked="0" layoutInCell="1" allowOverlap="1" wp14:anchorId="4B205A2E" wp14:editId="33307AF7">
                <wp:simplePos x="0" y="0"/>
                <wp:positionH relativeFrom="page">
                  <wp:posOffset>1260475</wp:posOffset>
                </wp:positionH>
                <wp:positionV relativeFrom="paragraph">
                  <wp:posOffset>398780</wp:posOffset>
                </wp:positionV>
                <wp:extent cx="2360930" cy="914400"/>
                <wp:effectExtent l="0" t="0" r="0"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noFill/>
                        <a:ln w="9525">
                          <a:noFill/>
                          <a:miter lim="800000"/>
                          <a:headEnd/>
                          <a:tailEnd/>
                        </a:ln>
                      </wps:spPr>
                      <wps:txbx>
                        <w:txbxContent>
                          <w:p w:rsidR="00AF741C" w:rsidRPr="00EF2FC0" w:rsidRDefault="00AF741C" w:rsidP="00AF741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F741C" w:rsidRDefault="00AF741C" w:rsidP="00AF741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F741C" w:rsidRDefault="00AF741C" w:rsidP="00AF741C">
                            <w:pPr>
                              <w:spacing w:line="240" w:lineRule="auto"/>
                              <w:jc w:val="center"/>
                              <w:rPr>
                                <w:rFonts w:ascii="Palatino Linotype" w:hAnsi="Palatino Linotype"/>
                                <w:b/>
                                <w:sz w:val="24"/>
                                <w:szCs w:val="24"/>
                              </w:rPr>
                            </w:pPr>
                          </w:p>
                          <w:p w:rsidR="00AF741C" w:rsidRDefault="00AF741C" w:rsidP="00AF741C">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205A2E" id="Cuadro de texto 2" o:spid="_x0000_s1027" type="#_x0000_t202" style="position:absolute;left:0;text-align:left;margin-left:99.25pt;margin-top:31.4pt;width:185.9pt;height:1in;z-index:25166540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TvEAIAAAEEAAAOAAAAZHJzL2Uyb0RvYy54bWysU9uO2yAQfa/Uf0C8N3acZLtrxVlts92q&#10;0vYibfsBGHCMCgwFEjv9+g44m43at6p+QOBhzsw5c1jfjkaTg/RBgW3ofFZSIi0Hoeyuod+/Pby5&#10;piREZgXTYGVDjzLQ283rV+vB1bKCHrSQniCIDfXgGtrH6OqiCLyXhoUZOGkx2IE3LOLR7wrh2YDo&#10;RhdVWV4VA3jhPHAZAv69n4J0k/G7TvL4peuCjEQ3FHuLefV5bdNabNas3nnmesVPbbB/6MIwZbHo&#10;GeqeRUb2Xv0FZRT3EKCLMw6mgK5TXGYOyGZe/sHmqWdOZi4oTnBnmcL/g+WfD189UaKh1YISywzO&#10;aLtnwgMRkkQ5RiBVUmlwocbLTw6vx/EdjDjtzDi4R+A/ArGw7ZndyTvvYeglE9jlPGUWF6kTTkgg&#10;7fAJBFZj+wgZaOy8SRKiKATRcVrH84SwD8LxZ7W4Km8WGOIYu5kvl2UeYcHq52znQ/wgwZC0aahH&#10;B2R0dngMMXXD6ucrqZiFB6V1doG2ZEDQVbXKCRcRoyKaVCvT0OsyfZNtEsn3VuTkyJSe9lhA2xPr&#10;RHSiHMd2zDJnSZIiLYgjyuBh8iS+Idz04H9RMqAfGxp+7pmXlOiPFqXMZNHA+bBcva1QBH8ZaS8j&#10;zHKEamikZNpuYzb9RPkOJe9UVuOlk1PL6LMs0ulNJCNfnvOtl5e7+Q0AAP//AwBQSwMEFAAGAAgA&#10;AAAhABjxhuDfAAAACgEAAA8AAABkcnMvZG93bnJldi54bWxMj8tOwzAQRfdI/IM1SOyoTSBpCHEq&#10;hMoCiUUpZe/akwfEdhQ7aeDrGVawvJqjO+eWm8X2bMYxdN5JuF4JYOi0N51rJBzenq5yYCEqZ1Tv&#10;HUr4wgCb6vysVIXxJ/eK8z42jEpcKJSENsah4DzoFq0KKz+go1vtR6sixbHhZlQnKrc9T4TIuFWd&#10;ow+tGvCxRf25n6yE+vl9bV9u6+1hO6XfH3Oql12jpby8WB7ugUVc4h8Mv/qkDhU5Hf3kTGA95bs8&#10;JVRCltAEAtK1uAF2lJCILAdelfz/hOoHAAD//wMAUEsBAi0AFAAGAAgAAAAhALaDOJL+AAAA4QEA&#10;ABMAAAAAAAAAAAAAAAAAAAAAAFtDb250ZW50X1R5cGVzXS54bWxQSwECLQAUAAYACAAAACEAOP0h&#10;/9YAAACUAQAACwAAAAAAAAAAAAAAAAAvAQAAX3JlbHMvLnJlbHNQSwECLQAUAAYACAAAACEAzAGk&#10;7xACAAABBAAADgAAAAAAAAAAAAAAAAAuAgAAZHJzL2Uyb0RvYy54bWxQSwECLQAUAAYACAAAACEA&#10;GPGG4N8AAAAKAQAADwAAAAAAAAAAAAAAAABqBAAAZHJzL2Rvd25yZXYueG1sUEsFBgAAAAAEAAQA&#10;8wAAAHYFAAAAAA==&#10;" filled="f" stroked="f">
                <v:textbox>
                  <w:txbxContent>
                    <w:p w:rsidR="00AF741C" w:rsidRPr="00EF2FC0" w:rsidRDefault="00AF741C" w:rsidP="00AF741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F741C" w:rsidRDefault="00AF741C" w:rsidP="00AF741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F741C" w:rsidRDefault="00AF741C" w:rsidP="00AF741C">
                      <w:pPr>
                        <w:spacing w:line="240" w:lineRule="auto"/>
                        <w:jc w:val="center"/>
                        <w:rPr>
                          <w:rFonts w:ascii="Palatino Linotype" w:hAnsi="Palatino Linotype"/>
                          <w:b/>
                          <w:sz w:val="24"/>
                          <w:szCs w:val="24"/>
                        </w:rPr>
                      </w:pPr>
                    </w:p>
                    <w:p w:rsidR="00AF741C" w:rsidRDefault="00AF741C" w:rsidP="00AF741C">
                      <w:pPr>
                        <w:spacing w:line="240" w:lineRule="auto"/>
                        <w:jc w:val="center"/>
                        <w:rPr>
                          <w:rFonts w:ascii="Palatino Linotype" w:hAnsi="Palatino Linotype"/>
                          <w:sz w:val="24"/>
                          <w:szCs w:val="24"/>
                        </w:rPr>
                      </w:pPr>
                    </w:p>
                  </w:txbxContent>
                </v:textbox>
                <w10:wrap type="square" anchorx="page"/>
              </v:shape>
            </w:pict>
          </mc:Fallback>
        </mc:AlternateContent>
      </w:r>
    </w:p>
    <w:p w:rsidR="00AF741C" w:rsidRDefault="00AF741C" w:rsidP="008C56A6">
      <w:pPr>
        <w:spacing w:before="240" w:after="0" w:line="360" w:lineRule="auto"/>
        <w:jc w:val="both"/>
        <w:rPr>
          <w:rFonts w:ascii="Palatino Linotype" w:hAnsi="Palatino Linotype"/>
          <w:b/>
          <w:sz w:val="24"/>
          <w:szCs w:val="24"/>
        </w:rPr>
      </w:pPr>
    </w:p>
    <w:p w:rsidR="00AF741C" w:rsidRDefault="00AF741C" w:rsidP="008C56A6">
      <w:pPr>
        <w:spacing w:before="240" w:after="0" w:line="360" w:lineRule="auto"/>
        <w:jc w:val="both"/>
        <w:rPr>
          <w:rFonts w:ascii="Palatino Linotype" w:hAnsi="Palatino Linotype"/>
          <w:b/>
          <w:sz w:val="24"/>
          <w:szCs w:val="24"/>
        </w:rPr>
      </w:pPr>
    </w:p>
    <w:p w:rsidR="002A5ADD" w:rsidRPr="00AF741C" w:rsidRDefault="00C46EB9" w:rsidP="008C56A6">
      <w:pPr>
        <w:spacing w:before="240" w:after="0" w:line="360" w:lineRule="auto"/>
        <w:jc w:val="both"/>
        <w:rPr>
          <w:rFonts w:ascii="Palatino Linotype" w:hAnsi="Palatino Linotype"/>
          <w:sz w:val="12"/>
          <w:szCs w:val="16"/>
        </w:rPr>
      </w:pPr>
      <w:r w:rsidRPr="00AF741C">
        <w:rPr>
          <w:rFonts w:ascii="Palatino Linotype" w:hAnsi="Palatino Linotype"/>
          <w:sz w:val="16"/>
          <w:szCs w:val="20"/>
        </w:rPr>
        <w:t>OSAM/MAEM</w:t>
      </w:r>
    </w:p>
    <w:sectPr w:rsidR="002A5ADD" w:rsidRPr="00AF741C" w:rsidSect="00115CE3">
      <w:headerReference w:type="even" r:id="rId13"/>
      <w:headerReference w:type="default" r:id="rId14"/>
      <w:footerReference w:type="default" r:id="rId15"/>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0FC" w:rsidRDefault="00FD00FC" w:rsidP="00D010E2">
      <w:pPr>
        <w:spacing w:after="0" w:line="240" w:lineRule="auto"/>
      </w:pPr>
      <w:r>
        <w:separator/>
      </w:r>
    </w:p>
  </w:endnote>
  <w:endnote w:type="continuationSeparator" w:id="0">
    <w:p w:rsidR="00FD00FC" w:rsidRDefault="00FD00FC" w:rsidP="00D0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6B04D6"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744F37">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744F37">
      <w:rPr>
        <w:rFonts w:ascii="Palatino Linotype" w:hAnsi="Palatino Linotype" w:cs="Arial"/>
        <w:b/>
        <w:bCs/>
        <w:noProof/>
        <w:sz w:val="22"/>
        <w:szCs w:val="22"/>
      </w:rPr>
      <w:t>15</w:t>
    </w:r>
    <w:r w:rsidRPr="006C50A8">
      <w:rPr>
        <w:rFonts w:ascii="Palatino Linotype" w:hAnsi="Palatino Linotype" w:cs="Arial"/>
        <w:b/>
        <w:bCs/>
        <w:sz w:val="22"/>
        <w:szCs w:val="22"/>
      </w:rPr>
      <w:fldChar w:fldCharType="end"/>
    </w:r>
  </w:p>
  <w:p w:rsidR="00D758BE" w:rsidRDefault="00744F3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0FC" w:rsidRDefault="00FD00FC" w:rsidP="00D010E2">
      <w:pPr>
        <w:spacing w:after="0" w:line="240" w:lineRule="auto"/>
      </w:pPr>
      <w:r>
        <w:separator/>
      </w:r>
    </w:p>
  </w:footnote>
  <w:footnote w:type="continuationSeparator" w:id="0">
    <w:p w:rsidR="00FD00FC" w:rsidRDefault="00FD00FC" w:rsidP="00D0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010E2">
    <w:pPr>
      <w:pStyle w:val="Encabezado"/>
    </w:pPr>
    <w:r>
      <w:rPr>
        <w:noProof/>
        <w:lang w:val="es-MX" w:eastAsia="es-MX"/>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mc:AlternateContent>
        <mc:Choice Requires="wps">
          <w:drawing>
            <wp:anchor distT="0" distB="0" distL="114300" distR="114300" simplePos="0" relativeHeight="251655680" behindDoc="1" locked="0" layoutInCell="0" allowOverlap="1" wp14:anchorId="4A5D6A02" wp14:editId="7CB898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D6A02" id="_x0000_s1029"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744F37"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1"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010E2">
      <w:rPr>
        <w:noProof/>
        <w:lang w:val="es-MX" w:eastAsia="es-MX"/>
      </w:rPr>
      <mc:AlternateContent>
        <mc:Choice Requires="wps">
          <w:drawing>
            <wp:anchor distT="0" distB="0" distL="114300" distR="114300" simplePos="0" relativeHeight="251658752" behindDoc="1" locked="0" layoutInCell="0" allowOverlap="1" wp14:anchorId="67986B33" wp14:editId="5D557D82">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86B33" id="_x0000_t202" coordsize="21600,21600" o:spt="202" path="m,l,21600r21600,l21600,xe">
              <v:stroke joinstyle="miter"/>
              <v:path gradientshapeok="t" o:connecttype="rect"/>
            </v:shapetype>
            <v:shape id="Cuadro de texto 1" o:spid="_x0000_s1030"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w:drawing>
        <wp:anchor distT="0" distB="0" distL="114300" distR="114300" simplePos="0" relativeHeight="251656704" behindDoc="1" locked="0" layoutInCell="1" allowOverlap="1" wp14:anchorId="33BCD957" wp14:editId="6EEAB4C5">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744F37" w:rsidP="007263BB">
    <w:pPr>
      <w:pStyle w:val="Encabezado"/>
      <w:jc w:val="right"/>
      <w:rPr>
        <w:rFonts w:ascii="Arial" w:hAnsi="Arial" w:cs="Arial"/>
        <w:sz w:val="20"/>
        <w:szCs w:val="20"/>
      </w:rPr>
    </w:pPr>
  </w:p>
  <w:p w:rsidR="00D758BE" w:rsidRDefault="00744F37" w:rsidP="007263BB">
    <w:pPr>
      <w:pStyle w:val="Encabezado"/>
      <w:jc w:val="right"/>
      <w:rPr>
        <w:rFonts w:ascii="Arial" w:hAnsi="Arial" w:cs="Arial"/>
        <w:sz w:val="20"/>
        <w:szCs w:val="20"/>
      </w:rPr>
    </w:pPr>
  </w:p>
  <w:p w:rsidR="00706042" w:rsidRPr="00563D0F" w:rsidRDefault="006B04D6" w:rsidP="00FE7983">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026327">
      <w:rPr>
        <w:rFonts w:ascii="Palatino Linotype" w:hAnsi="Palatino Linotype" w:cs="Arial"/>
        <w:b/>
        <w:sz w:val="20"/>
        <w:szCs w:val="20"/>
      </w:rPr>
      <w:t xml:space="preserve"> </w:t>
    </w:r>
    <w:r w:rsidR="00FE7983">
      <w:rPr>
        <w:rFonts w:ascii="Palatino Linotype" w:hAnsi="Palatino Linotype" w:cs="Arial"/>
        <w:b/>
        <w:sz w:val="20"/>
        <w:szCs w:val="20"/>
      </w:rPr>
      <w:t>CONCURRENTE</w:t>
    </w:r>
  </w:p>
  <w:p w:rsidR="00FE7983" w:rsidRDefault="006B04D6"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p>
  <w:p w:rsidR="00EE5FB0" w:rsidRPr="00563D0F" w:rsidRDefault="006B04D6" w:rsidP="00EE5FB0">
    <w:pPr>
      <w:pStyle w:val="Encabezado"/>
      <w:jc w:val="right"/>
      <w:rPr>
        <w:rFonts w:ascii="Palatino Linotype" w:hAnsi="Palatino Linotype" w:cs="Arial"/>
        <w:b/>
        <w:sz w:val="20"/>
        <w:szCs w:val="20"/>
      </w:rPr>
    </w:pPr>
    <w:r w:rsidRPr="00897E24">
      <w:rPr>
        <w:rFonts w:ascii="Palatino Linotype" w:hAnsi="Palatino Linotype" w:cs="Arial"/>
        <w:b/>
        <w:sz w:val="20"/>
        <w:szCs w:val="20"/>
      </w:rPr>
      <w:t>0</w:t>
    </w:r>
    <w:r w:rsidR="006B7ECD">
      <w:rPr>
        <w:rFonts w:ascii="Palatino Linotype" w:hAnsi="Palatino Linotype" w:cs="Arial"/>
        <w:b/>
        <w:sz w:val="20"/>
        <w:szCs w:val="20"/>
      </w:rPr>
      <w:t>3023</w:t>
    </w:r>
    <w:r w:rsidR="00C24ECE">
      <w:rPr>
        <w:rFonts w:ascii="Palatino Linotype" w:hAnsi="Palatino Linotype" w:cs="Arial"/>
        <w:b/>
        <w:sz w:val="20"/>
        <w:szCs w:val="20"/>
      </w:rPr>
      <w:t>/INFOEM/AD</w:t>
    </w:r>
    <w:r w:rsidRPr="00897E24">
      <w:rPr>
        <w:rFonts w:ascii="Palatino Linotype" w:hAnsi="Palatino Linotype" w:cs="Arial"/>
        <w:b/>
        <w:sz w:val="20"/>
        <w:szCs w:val="20"/>
      </w:rPr>
      <w:t>/RR/201</w:t>
    </w:r>
    <w:r w:rsidR="00FC4551">
      <w:rPr>
        <w:rFonts w:ascii="Palatino Linotype" w:hAnsi="Palatino Linotype" w:cs="Arial"/>
        <w:b/>
        <w:sz w:val="20"/>
        <w:szCs w:val="20"/>
      </w:rPr>
      <w:t>8</w:t>
    </w:r>
  </w:p>
  <w:p w:rsidR="00D758BE" w:rsidRDefault="00744F37" w:rsidP="007263BB">
    <w:pPr>
      <w:pStyle w:val="Encabezado"/>
      <w:jc w:val="right"/>
      <w:rPr>
        <w:rFonts w:ascii="Palatino Linotype" w:hAnsi="Palatino Linotype" w:cs="Arial"/>
        <w:sz w:val="20"/>
        <w:szCs w:val="20"/>
      </w:rPr>
    </w:pPr>
  </w:p>
  <w:p w:rsidR="00233AB2" w:rsidRDefault="00744F37"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64ABF"/>
    <w:multiLevelType w:val="hybridMultilevel"/>
    <w:tmpl w:val="8BF0FF20"/>
    <w:lvl w:ilvl="0" w:tplc="ADD41D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2"/>
    <w:rsid w:val="00026327"/>
    <w:rsid w:val="00044820"/>
    <w:rsid w:val="0004501B"/>
    <w:rsid w:val="00050069"/>
    <w:rsid w:val="00055B65"/>
    <w:rsid w:val="0009123D"/>
    <w:rsid w:val="000E4DE4"/>
    <w:rsid w:val="000F275B"/>
    <w:rsid w:val="001122EF"/>
    <w:rsid w:val="00131429"/>
    <w:rsid w:val="00185C4E"/>
    <w:rsid w:val="00186DF0"/>
    <w:rsid w:val="001F475F"/>
    <w:rsid w:val="002A291A"/>
    <w:rsid w:val="002A3AB8"/>
    <w:rsid w:val="002A5ADD"/>
    <w:rsid w:val="002B3A7E"/>
    <w:rsid w:val="002B4D4F"/>
    <w:rsid w:val="002D707D"/>
    <w:rsid w:val="00301765"/>
    <w:rsid w:val="003305A7"/>
    <w:rsid w:val="00353B36"/>
    <w:rsid w:val="003D3281"/>
    <w:rsid w:val="003F7FAE"/>
    <w:rsid w:val="00450305"/>
    <w:rsid w:val="0046171D"/>
    <w:rsid w:val="004B57D2"/>
    <w:rsid w:val="004D1B09"/>
    <w:rsid w:val="004F7EC3"/>
    <w:rsid w:val="005132B8"/>
    <w:rsid w:val="0051597D"/>
    <w:rsid w:val="00540C8C"/>
    <w:rsid w:val="005427B1"/>
    <w:rsid w:val="006117E4"/>
    <w:rsid w:val="00664FC9"/>
    <w:rsid w:val="00673095"/>
    <w:rsid w:val="006B04D6"/>
    <w:rsid w:val="006B7ECD"/>
    <w:rsid w:val="006F3F46"/>
    <w:rsid w:val="00744F37"/>
    <w:rsid w:val="00842741"/>
    <w:rsid w:val="008873B9"/>
    <w:rsid w:val="00891A8B"/>
    <w:rsid w:val="008A48F3"/>
    <w:rsid w:val="008C56A6"/>
    <w:rsid w:val="008E56AA"/>
    <w:rsid w:val="008F2A68"/>
    <w:rsid w:val="009172C0"/>
    <w:rsid w:val="0093213B"/>
    <w:rsid w:val="009F7D1A"/>
    <w:rsid w:val="00A47131"/>
    <w:rsid w:val="00A87A0F"/>
    <w:rsid w:val="00AB21BA"/>
    <w:rsid w:val="00AE1A56"/>
    <w:rsid w:val="00AF741C"/>
    <w:rsid w:val="00B44260"/>
    <w:rsid w:val="00B56AC7"/>
    <w:rsid w:val="00B65634"/>
    <w:rsid w:val="00BA661E"/>
    <w:rsid w:val="00BC5FC7"/>
    <w:rsid w:val="00BF1B46"/>
    <w:rsid w:val="00C14252"/>
    <w:rsid w:val="00C24ECE"/>
    <w:rsid w:val="00C46C86"/>
    <w:rsid w:val="00C46EB9"/>
    <w:rsid w:val="00C61A9E"/>
    <w:rsid w:val="00C95FB1"/>
    <w:rsid w:val="00CE5A9B"/>
    <w:rsid w:val="00CE6F3E"/>
    <w:rsid w:val="00D010E2"/>
    <w:rsid w:val="00D43ED3"/>
    <w:rsid w:val="00D6393D"/>
    <w:rsid w:val="00D80592"/>
    <w:rsid w:val="00D80BD8"/>
    <w:rsid w:val="00D91796"/>
    <w:rsid w:val="00D961F2"/>
    <w:rsid w:val="00DB05C7"/>
    <w:rsid w:val="00DB1B27"/>
    <w:rsid w:val="00DC24D9"/>
    <w:rsid w:val="00E07770"/>
    <w:rsid w:val="00E475D6"/>
    <w:rsid w:val="00E73298"/>
    <w:rsid w:val="00E84C89"/>
    <w:rsid w:val="00ED35BE"/>
    <w:rsid w:val="00F0409C"/>
    <w:rsid w:val="00F5487D"/>
    <w:rsid w:val="00F60D98"/>
    <w:rsid w:val="00F678A9"/>
    <w:rsid w:val="00F7177B"/>
    <w:rsid w:val="00F72ED1"/>
    <w:rsid w:val="00F7656B"/>
    <w:rsid w:val="00F80B25"/>
    <w:rsid w:val="00FC4551"/>
    <w:rsid w:val="00FD00FC"/>
    <w:rsid w:val="00FE5393"/>
    <w:rsid w:val="00FE7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9D42C39-AA16-48D7-A6F1-AFFBBF15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10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10E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01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DB05C7"/>
    <w:pPr>
      <w:ind w:left="720"/>
      <w:contextualSpacing/>
    </w:pPr>
  </w:style>
  <w:style w:type="paragraph" w:styleId="Textodeglobo">
    <w:name w:val="Balloon Text"/>
    <w:basedOn w:val="Normal"/>
    <w:link w:val="TextodegloboCar"/>
    <w:uiPriority w:val="99"/>
    <w:semiHidden/>
    <w:unhideWhenUsed/>
    <w:rsid w:val="00C46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86"/>
    <w:rPr>
      <w:rFonts w:ascii="Segoe UI" w:hAnsi="Segoe UI" w:cs="Segoe UI"/>
      <w:sz w:val="18"/>
      <w:szCs w:val="18"/>
    </w:rPr>
  </w:style>
  <w:style w:type="character" w:customStyle="1" w:styleId="PrrafodelistaCar">
    <w:name w:val="Párrafo de lista Car"/>
    <w:link w:val="Prrafodelista"/>
    <w:uiPriority w:val="34"/>
    <w:locked/>
    <w:rsid w:val="00D9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666860">
      <w:bodyDiv w:val="1"/>
      <w:marLeft w:val="0"/>
      <w:marRight w:val="0"/>
      <w:marTop w:val="0"/>
      <w:marBottom w:val="0"/>
      <w:divBdr>
        <w:top w:val="none" w:sz="0" w:space="0" w:color="auto"/>
        <w:left w:val="none" w:sz="0" w:space="0" w:color="auto"/>
        <w:bottom w:val="none" w:sz="0" w:space="0" w:color="auto"/>
        <w:right w:val="none" w:sz="0" w:space="0" w:color="auto"/>
      </w:divBdr>
    </w:div>
    <w:div w:id="19808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yperlink" Target="javascript:AbrirModal(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AbrirModal(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15</Pages>
  <Words>2522</Words>
  <Characters>13871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2018-10-23T00:54:00Z</cp:lastPrinted>
  <dcterms:created xsi:type="dcterms:W3CDTF">2017-08-21T19:14:00Z</dcterms:created>
  <dcterms:modified xsi:type="dcterms:W3CDTF">2019-01-04T20:11:00Z</dcterms:modified>
</cp:coreProperties>
</file>